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media/image1.jpeg" ContentType="image/jpeg"/>
  <Override PartName="/word/media/image2.jpeg" ContentType="image/jpeg"/>
  <Override PartName="/word/media/image3.jpeg" ContentType="image/jpeg"/>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media/image4.jpeg" ContentType="image/jpeg"/>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header2.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Attribution"/>
        <w:bidi w:val="0"/>
        <w:sectPr>
          <w:headerReference w:type="default" r:id="rId4"/>
          <w:footerReference w:type="default" r:id="rId5"/>
          <w:pgSz w:w="12240" w:h="15840" w:orient="portrait"/>
          <w:pgMar w:top="1440" w:right="1080" w:bottom="1800" w:left="1080" w:header="440" w:footer="360"/>
          <w:bidi w:val="0"/>
        </w:sectPr>
      </w:pPr>
      <w:r>
        <mc:AlternateContent>
          <mc:Choice Requires="wpg">
            <w:drawing xmlns:a="http://schemas.openxmlformats.org/drawingml/2006/main">
              <wp:anchor distT="152400" distB="152400" distL="152400" distR="152400" simplePos="0" relativeHeight="251659264" behindDoc="0" locked="0" layoutInCell="1" allowOverlap="1">
                <wp:simplePos x="0" y="0"/>
                <wp:positionH relativeFrom="page">
                  <wp:posOffset>-223519</wp:posOffset>
                </wp:positionH>
                <wp:positionV relativeFrom="page">
                  <wp:posOffset>0</wp:posOffset>
                </wp:positionV>
                <wp:extent cx="7772400" cy="10058400"/>
                <wp:effectExtent l="0" t="0" r="0" b="0"/>
                <wp:wrapNone/>
                <wp:docPr id="1073741829" name="officeArt object" descr="Group"/>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073741825" name="Image" descr="Image"/>
                          <pic:cNvPicPr>
                            <a:picLocks noChangeAspect="1"/>
                          </pic:cNvPicPr>
                        </pic:nvPicPr>
                        <pic:blipFill>
                          <a:blip r:embed="rId6">
                            <a:extLst/>
                          </a:blip>
                          <a:srcRect l="29607" t="10376" r="29673" b="10598"/>
                          <a:stretch>
                            <a:fillRect/>
                          </a:stretch>
                        </pic:blipFill>
                        <pic:spPr>
                          <a:xfrm>
                            <a:off x="0" y="0"/>
                            <a:ext cx="7772400" cy="10058400"/>
                          </a:xfrm>
                          <a:prstGeom prst="rect">
                            <a:avLst/>
                          </a:prstGeom>
                          <a:ln w="12700" cap="flat">
                            <a:noFill/>
                            <a:miter lim="400000"/>
                          </a:ln>
                          <a:effectLst/>
                        </pic:spPr>
                      </pic:pic>
                      <wps:wsp>
                        <wps:cNvPr id="1073741826" name="2021"/>
                        <wps:cNvSpPr txBox="1"/>
                        <wps:spPr>
                          <a:xfrm>
                            <a:off x="584200" y="1564639"/>
                            <a:ext cx="6604000" cy="637343"/>
                          </a:xfrm>
                          <a:prstGeom prst="rect">
                            <a:avLst/>
                          </a:prstGeom>
                          <a:solidFill>
                            <a:schemeClr val="accent1">
                              <a:hueOff val="1476394"/>
                              <a:lumOff val="-17455"/>
                            </a:schemeClr>
                          </a:solidFill>
                          <a:ln w="12700" cap="flat">
                            <a:noFill/>
                            <a:miter lim="400000"/>
                          </a:ln>
                          <a:effectLst/>
                        </wps:spPr>
                        <wps:txbx>
                          <w:txbxContent>
                            <w:p>
                              <w:pPr>
                                <w:pStyle w:val="Label"/>
                                <w:tabs>
                                  <w:tab w:val="left" w:pos="920"/>
                                  <w:tab w:val="left" w:pos="1840"/>
                                  <w:tab w:val="left" w:pos="2760"/>
                                  <w:tab w:val="left" w:pos="3680"/>
                                  <w:tab w:val="left" w:pos="4600"/>
                                  <w:tab w:val="left" w:pos="5520"/>
                                  <w:tab w:val="left" w:pos="6440"/>
                                  <w:tab w:val="left" w:pos="7360"/>
                                  <w:tab w:val="left" w:pos="8280"/>
                                  <w:tab w:val="left" w:pos="9200"/>
                                  <w:tab w:val="left" w:pos="10120"/>
                                </w:tabs>
                                <w:jc w:val="left"/>
                              </w:pPr>
                              <w:r>
                                <w:rPr>
                                  <w:rtl w:val="0"/>
                                  <w:lang w:val="en-US"/>
                                </w:rPr>
                                <w:t>2021</w:t>
                              </w:r>
                            </w:p>
                          </w:txbxContent>
                        </wps:txbx>
                        <wps:bodyPr wrap="square" lIns="50800" tIns="50800" rIns="50800" bIns="50800" numCol="1" anchor="t">
                          <a:noAutofit/>
                        </wps:bodyPr>
                      </wps:wsp>
                      <wps:wsp>
                        <wps:cNvPr id="1073741827" name="ANNUAL…"/>
                        <wps:cNvSpPr txBox="1"/>
                        <wps:spPr>
                          <a:xfrm>
                            <a:off x="533400" y="3134955"/>
                            <a:ext cx="6705600" cy="3425382"/>
                          </a:xfrm>
                          <a:prstGeom prst="rect">
                            <a:avLst/>
                          </a:prstGeom>
                          <a:noFill/>
                          <a:ln w="12700" cap="flat">
                            <a:noFill/>
                            <a:miter lim="400000"/>
                          </a:ln>
                          <a:effectLst/>
                        </wps:spPr>
                        <wps:txbx>
                          <w:txbxContent>
                            <w:p>
                              <w:pPr>
                                <w:pStyle w:val="Title"/>
                                <w:bidi w:val="0"/>
                              </w:pPr>
                              <w:r>
                                <w:rPr>
                                  <w:rtl w:val="0"/>
                                </w:rPr>
                                <w:t>ANNUAL</w:t>
                              </w:r>
                            </w:p>
                            <w:p>
                              <w:pPr>
                                <w:pStyle w:val="Title"/>
                                <w:bidi w:val="0"/>
                              </w:pPr>
                              <w:r>
                                <w:rPr>
                                  <w:rtl w:val="0"/>
                                </w:rPr>
                                <w:t>REPORT</w:t>
                              </w:r>
                            </w:p>
                            <w:p>
                              <w:pPr>
                                <w:pStyle w:val="Title"/>
                                <w:bidi w:val="0"/>
                              </w:pPr>
                              <w:r>
                                <w:rPr>
                                  <w:rtl w:val="0"/>
                                </w:rPr>
                                <w:t>2021</w:t>
                              </w:r>
                            </w:p>
                          </w:txbxContent>
                        </wps:txbx>
                        <wps:bodyPr wrap="square" lIns="50800" tIns="50800" rIns="50800" bIns="50800" numCol="1" anchor="t">
                          <a:noAutofit/>
                        </wps:bodyPr>
                      </wps:wsp>
                      <wps:wsp>
                        <wps:cNvPr id="1073741828" name="PUEBLO COUNTY CORONER’S OFFICE"/>
                        <wps:cNvSpPr txBox="1"/>
                        <wps:spPr>
                          <a:xfrm>
                            <a:off x="584200" y="2715776"/>
                            <a:ext cx="6604000" cy="698619"/>
                          </a:xfrm>
                          <a:prstGeom prst="rect">
                            <a:avLst/>
                          </a:prstGeom>
                          <a:noFill/>
                          <a:ln w="12700" cap="flat">
                            <a:noFill/>
                            <a:miter lim="400000"/>
                          </a:ln>
                          <a:effectLst/>
                        </wps:spPr>
                        <wps:txbx>
                          <w:txbxContent>
                            <w:p>
                              <w:pPr>
                                <w:pStyle w:val="Subtitle"/>
                                <w:bidi w:val="0"/>
                              </w:pPr>
                              <w:r>
                                <w:rPr>
                                  <w:rtl w:val="0"/>
                                </w:rPr>
                                <w:t>PUEBLO COUNTY CORONER</w:t>
                              </w:r>
                              <w:r>
                                <w:rPr>
                                  <w:rtl w:val="0"/>
                                </w:rPr>
                                <w:t>’</w:t>
                              </w:r>
                              <w:r>
                                <w:rPr>
                                  <w:rtl w:val="0"/>
                                </w:rPr>
                                <w:t>S OFFICE</w:t>
                              </w:r>
                            </w:p>
                          </w:txbxContent>
                        </wps:txbx>
                        <wps:bodyPr wrap="square" lIns="50800" tIns="50800" rIns="50800" bIns="50800" numCol="1" anchor="b">
                          <a:noAutofit/>
                        </wps:bodyPr>
                      </wps:wsp>
                    </wpg:wgp>
                  </a:graphicData>
                </a:graphic>
              </wp:anchor>
            </w:drawing>
          </mc:Choice>
          <mc:Fallback>
            <w:pict>
              <v:group id="_x0000_s1026" style="visibility:visible;position:absolute;margin-left:-17.6pt;margin-top:0.0pt;width:612.0pt;height:792.0pt;z-index:251659264;mso-position-horizontal:absolute;mso-position-horizontal-relative:page;mso-position-vertical:absolute;mso-position-vertical-relative:page;mso-wrap-distance-left:12.0pt;mso-wrap-distance-top:12.0pt;mso-wrap-distance-right:12.0pt;mso-wrap-distance-bottom:12.0pt;" coordorigin="0,0" coordsize="7772400,10058400">
                <w10:wrap type="none" side="bothSides" anchorx="page" anchory="page"/>
                <v:shape id="_x0000_s1027" type="#_x0000_t75" style="position:absolute;left:0;top:0;width:7772400;height:10058400;">
                  <v:imagedata r:id="rId6" o:title="1129623868_2254x1503_tint.jpeg" cropleft="29.6%" cropright="29.7%" croptop="10.4%" cropbottom="10.6%"/>
                </v:shape>
                <v:shape id="_x0000_s1028" type="#_x0000_t202" style="position:absolute;left:584200;top:1564640;width:6604000;height:637342;">
                  <v:fill color="#0000FF" opacity="100.0%" type="solid"/>
                  <v:stroke on="f" weight="1.0pt" dashstyle="solid" endcap="flat" miterlimit="400.0%" joinstyle="miter" linestyle="single" startarrow="none" startarrowwidth="medium" startarrowlength="medium" endarrow="none" endarrowwidth="medium" endarrowlength="medium"/>
                  <v:textbox>
                    <w:txbxContent>
                      <w:p>
                        <w:pPr>
                          <w:pStyle w:val="Label"/>
                          <w:tabs>
                            <w:tab w:val="left" w:pos="920"/>
                            <w:tab w:val="left" w:pos="1840"/>
                            <w:tab w:val="left" w:pos="2760"/>
                            <w:tab w:val="left" w:pos="3680"/>
                            <w:tab w:val="left" w:pos="4600"/>
                            <w:tab w:val="left" w:pos="5520"/>
                            <w:tab w:val="left" w:pos="6440"/>
                            <w:tab w:val="left" w:pos="7360"/>
                            <w:tab w:val="left" w:pos="8280"/>
                            <w:tab w:val="left" w:pos="9200"/>
                            <w:tab w:val="left" w:pos="10120"/>
                          </w:tabs>
                          <w:jc w:val="left"/>
                        </w:pPr>
                        <w:r>
                          <w:rPr>
                            <w:rtl w:val="0"/>
                            <w:lang w:val="en-US"/>
                          </w:rPr>
                          <w:t>2021</w:t>
                        </w:r>
                      </w:p>
                    </w:txbxContent>
                  </v:textbox>
                </v:shape>
                <v:shape id="_x0000_s1029" type="#_x0000_t202" style="position:absolute;left:533400;top:3134955;width:6705600;height:3425381;">
                  <v:fill on="f"/>
                  <v:stroke on="f" weight="1.0pt" dashstyle="solid" endcap="flat" miterlimit="400.0%" joinstyle="miter" linestyle="single" startarrow="none" startarrowwidth="medium" startarrowlength="medium" endarrow="none" endarrowwidth="medium" endarrowlength="medium"/>
                  <v:textbox>
                    <w:txbxContent>
                      <w:p>
                        <w:pPr>
                          <w:pStyle w:val="Title"/>
                          <w:bidi w:val="0"/>
                        </w:pPr>
                        <w:r>
                          <w:rPr>
                            <w:rtl w:val="0"/>
                          </w:rPr>
                          <w:t>ANNUAL</w:t>
                        </w:r>
                      </w:p>
                      <w:p>
                        <w:pPr>
                          <w:pStyle w:val="Title"/>
                          <w:bidi w:val="0"/>
                        </w:pPr>
                        <w:r>
                          <w:rPr>
                            <w:rtl w:val="0"/>
                          </w:rPr>
                          <w:t>REPORT</w:t>
                        </w:r>
                      </w:p>
                      <w:p>
                        <w:pPr>
                          <w:pStyle w:val="Title"/>
                          <w:bidi w:val="0"/>
                        </w:pPr>
                        <w:r>
                          <w:rPr>
                            <w:rtl w:val="0"/>
                          </w:rPr>
                          <w:t>2021</w:t>
                        </w:r>
                      </w:p>
                    </w:txbxContent>
                  </v:textbox>
                </v:shape>
                <v:shape id="_x0000_s1030" type="#_x0000_t202" style="position:absolute;left:584200;top:2715776;width:6604000;height:698619;">
                  <v:fill on="f"/>
                  <v:stroke on="f" weight="1.0pt" dashstyle="solid" endcap="flat" miterlimit="400.0%" joinstyle="miter" linestyle="single" startarrow="none" startarrowwidth="medium" startarrowlength="medium" endarrow="none" endarrowwidth="medium" endarrowlength="medium"/>
                  <v:textbox>
                    <w:txbxContent>
                      <w:p>
                        <w:pPr>
                          <w:pStyle w:val="Subtitle"/>
                          <w:bidi w:val="0"/>
                        </w:pPr>
                        <w:r>
                          <w:rPr>
                            <w:rtl w:val="0"/>
                          </w:rPr>
                          <w:t>PUEBLO COUNTY CORONER</w:t>
                        </w:r>
                        <w:r>
                          <w:rPr>
                            <w:rtl w:val="0"/>
                          </w:rPr>
                          <w:t>’</w:t>
                        </w:r>
                        <w:r>
                          <w:rPr>
                            <w:rtl w:val="0"/>
                          </w:rPr>
                          <w:t>S OFFICE</w:t>
                        </w:r>
                      </w:p>
                    </w:txbxContent>
                  </v:textbox>
                </v:shape>
              </v:group>
            </w:pict>
          </mc:Fallback>
        </mc:AlternateContent>
      </w:r>
    </w:p>
    <w:p>
      <w:pPr>
        <w:pStyle w:val="Attribution"/>
        <w:bidi w:val="0"/>
      </w:pPr>
      <w:r>
        <w:rPr>
          <w:rFonts w:cs="Arial Unicode MS" w:eastAsia="Arial Unicode MS"/>
          <w:rtl w:val="0"/>
          <w:lang w:val="en-US"/>
        </w:rPr>
        <w:t>PUEBLO COUNTY CORONER</w:t>
      </w:r>
      <w:r>
        <w:rPr>
          <w:rFonts w:cs="Arial Unicode MS" w:eastAsia="Arial Unicode MS" w:hint="default"/>
          <w:rtl w:val="0"/>
          <w:lang w:val="en-US"/>
        </w:rPr>
        <w:t>’</w:t>
      </w:r>
      <w:r>
        <w:rPr>
          <w:rFonts w:cs="Arial Unicode MS" w:eastAsia="Arial Unicode MS"/>
          <w:rtl w:val="0"/>
          <w:lang w:val="en-US"/>
        </w:rPr>
        <w:t>S OFFICE</w:t>
      </w:r>
    </w:p>
    <w:p>
      <w:pPr>
        <w:pStyle w:val="Subheading"/>
        <w:bidi w:val="0"/>
      </w:pPr>
      <w:r>
        <w:rPr>
          <w:rtl w:val="0"/>
        </w:rPr>
        <w:t>CORONER BRIAN COTTER</w:t>
      </w:r>
    </w:p>
    <w:p>
      <w:pPr>
        <w:pStyle w:val="Subheading"/>
        <w:bidi w:val="0"/>
      </w:pPr>
      <w:r>
        <w:rPr>
          <w:rtl w:val="0"/>
        </w:rPr>
        <w:t>480 Midtown Circle, Pueblo 81003</w:t>
      </w:r>
    </w:p>
    <w:p>
      <w:pPr>
        <w:pStyle w:val="Subheading"/>
        <w:bidi w:val="0"/>
      </w:pPr>
      <w:r>
        <w:rPr>
          <w:rtl w:val="0"/>
        </w:rPr>
        <w:t>719-583-4673</w:t>
      </w:r>
    </w:p>
    <w:p>
      <w:pPr>
        <w:pStyle w:val="Subheading"/>
        <w:bidi w:val="0"/>
      </w:pPr>
      <w:r>
        <w:rPr>
          <w:rtl w:val="0"/>
        </w:rPr>
        <w:t>coroner@pueblocounty.us</w:t>
      </w:r>
    </w:p>
    <w:p>
      <w:pPr>
        <w:pStyle w:val="Title 2"/>
        <w:bidi w:val="0"/>
      </w:pPr>
      <w:r>
        <w:rPr>
          <w:rtl w:val="0"/>
        </w:rPr>
        <w:t>2021 ANNUAL REPORT</w:t>
      </w:r>
      <w:r>
        <w:drawing xmlns:a="http://schemas.openxmlformats.org/drawingml/2006/main">
          <wp:anchor distT="152400" distB="152400" distL="152400" distR="152400" simplePos="0" relativeHeight="251660288" behindDoc="0" locked="0" layoutInCell="1" allowOverlap="1">
            <wp:simplePos x="0" y="0"/>
            <wp:positionH relativeFrom="margin">
              <wp:posOffset>2495550</wp:posOffset>
            </wp:positionH>
            <wp:positionV relativeFrom="line">
              <wp:posOffset>1287386</wp:posOffset>
            </wp:positionV>
            <wp:extent cx="1397000" cy="1358900"/>
            <wp:effectExtent l="0" t="0" r="0" b="0"/>
            <wp:wrapThrough wrapText="bothSides" distL="152400" distR="152400">
              <wp:wrapPolygon edited="1">
                <wp:start x="0" y="0"/>
                <wp:lineTo x="21600" y="0"/>
                <wp:lineTo x="21600" y="21600"/>
                <wp:lineTo x="0" y="21600"/>
                <wp:lineTo x="0" y="0"/>
              </wp:wrapPolygon>
            </wp:wrapThrough>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7">
                      <a:extLst/>
                    </a:blip>
                    <a:stretch>
                      <a:fillRect/>
                    </a:stretch>
                  </pic:blipFill>
                  <pic:spPr>
                    <a:xfrm>
                      <a:off x="0" y="0"/>
                      <a:ext cx="1397000" cy="1358900"/>
                    </a:xfrm>
                    <a:prstGeom prst="rect">
                      <a:avLst/>
                    </a:prstGeom>
                    <a:ln w="12700" cap="flat">
                      <a:noFill/>
                      <a:miter lim="400000"/>
                    </a:ln>
                    <a:effectLst/>
                  </pic:spPr>
                </pic:pic>
              </a:graphicData>
            </a:graphic>
          </wp:anchor>
        </w:drawing>
      </w:r>
    </w:p>
    <w:p>
      <w:pPr>
        <w:pStyle w:val="Title 2"/>
        <w:bidi w:val="0"/>
      </w:pPr>
    </w:p>
    <w:p>
      <w:pPr>
        <w:pStyle w:val="Title 2"/>
        <w:bidi w:val="0"/>
      </w:pPr>
    </w:p>
    <w:p>
      <w:pPr>
        <w:pStyle w:val="Heading"/>
      </w:pPr>
    </w:p>
    <w:p>
      <w:pPr>
        <w:pStyle w:val="Heading"/>
        <w:jc w:val="center"/>
        <w:rPr>
          <w:rFonts w:ascii="Microsoft Sans Serif" w:cs="Microsoft Sans Serif" w:hAnsi="Microsoft Sans Serif" w:eastAsia="Microsoft Sans Serif"/>
          <w:b w:val="0"/>
          <w:bCs w:val="0"/>
          <w:i w:val="0"/>
          <w:iCs w:val="0"/>
          <w:sz w:val="48"/>
          <w:szCs w:val="48"/>
        </w:rPr>
      </w:pPr>
      <w:bookmarkStart w:name="_Hlk501114800" w:id="0"/>
      <w:r>
        <w:rPr>
          <w:i w:val="1"/>
          <w:iCs w:val="1"/>
          <w:sz w:val="48"/>
          <w:szCs w:val="48"/>
          <w:rtl w:val="0"/>
          <w:lang w:val="de-DE"/>
        </w:rPr>
        <w:t>MISSION STATEMENT</w:t>
      </w:r>
    </w:p>
    <w:p>
      <w:pPr>
        <w:pStyle w:val="Body"/>
        <w:keepNext w:val="1"/>
        <w:keepLines w:val="0"/>
        <w:pageBreakBefore w:val="0"/>
        <w:framePr w:hSpace="0" w:hAnchor="text" w:vAnchor="text" w:wrap="around" w:dropCap="drop" w:lines="3"/>
        <w:widowControl w:val="1"/>
        <w:pBdr>
          <w:bottom w:val="nil"/>
          <w:right w:val="nil"/>
        </w:pBdr>
        <w:shd w:val="clear" w:color="auto" w:fill="auto"/>
        <w:suppressAutoHyphens w:val="0"/>
        <w:bidi w:val="0"/>
        <w:spacing w:before="0" w:after="0" w:line="1283" w:lineRule="exact"/>
        <w:ind w:left="0" w:right="0" w:firstLine="0"/>
        <w:jc w:val="left"/>
        <w:outlineLvl w:val="9"/>
        <w:textAlignment w:val="baseline"/>
        <w:rPr>
          <w:rtl w:val="0"/>
        </w:rPr>
      </w:pPr>
      <w:r>
        <w:rPr>
          <w:rFonts w:ascii="Graphik" w:cs="Graphik" w:hAnsi="Graphik" w:eastAsia="Graphik"/>
          <w:b w:val="1"/>
          <w:bCs w:val="1"/>
          <w:i w:val="0"/>
          <w:iCs w:val="0"/>
          <w:caps w:val="0"/>
          <w:smallCaps w:val="0"/>
          <w:strike w:val="0"/>
          <w:dstrike w:val="0"/>
          <w:outline w:val="0"/>
          <w:color w:val="56c1fe"/>
          <w:spacing w:val="0"/>
          <w:kern w:val="0"/>
          <w:position w:val="-8"/>
          <w:sz w:val="147"/>
          <w:szCs w:val="147"/>
          <w:u w:val="none" w:color="000000"/>
          <w:shd w:val="nil" w:color="auto" w:fill="auto"/>
          <w:vertAlign w:val="baseline"/>
          <w:rtl w:val="0"/>
          <w14:textOutline>
            <w14:noFill/>
          </w14:textOutline>
          <w14:textFill>
            <w14:gradFill w14:flip="none" w14:rotWithShape="1">
              <w14:gsLst>
                <w14:gs w14:pos="0">
                  <w14:srgbClr w14:val="56C1FF"/>
                </w14:gs>
                <w14:gs w14:pos="100000">
                  <w14:srgbClr w14:val="001238"/>
                </w14:gs>
              </w14:gsLst>
              <w14:lin w14:ang="5400000" w14:scaled="0"/>
            </w14:gradFill>
          </w14:textFill>
        </w:rPr>
        <w:t>T</w:t>
      </w:r>
    </w:p>
    <w:p>
      <w:pPr>
        <w:pStyle w:val="Body"/>
        <w:bidi w:val="0"/>
        <w:spacing w:after="180" w:line="336" w:lineRule="auto"/>
        <w:ind w:left="0" w:right="0" w:firstLine="0"/>
        <w:jc w:val="left"/>
        <w:rPr>
          <w:rFonts w:ascii="Microsoft Sans Serif" w:cs="Microsoft Sans Serif" w:hAnsi="Microsoft Sans Serif" w:eastAsia="Microsoft Sans Serif"/>
          <w:u w:color="000000"/>
          <w:rtl w:val="0"/>
        </w:rPr>
      </w:pPr>
      <w:r>
        <w:rPr>
          <w:rFonts w:ascii="Microsoft Sans Serif" w:hAnsi="Microsoft Sans Serif"/>
          <w:sz w:val="27"/>
          <w:szCs w:val="27"/>
          <w:u w:color="000000"/>
          <w:rtl w:val="0"/>
          <w:lang w:val="en-US"/>
        </w:rPr>
        <w:t>o provide accurate, professional, and compassionate Medicolegal Death Investigations.  To collect and provide evidence to individuals or agencies who need it to further criminal or civil proceedings.  To serve those most affected by a death to the absolute best of our ability in bringing closure to families in difficult situations.</w:t>
      </w:r>
      <w:bookmarkEnd w:id="0"/>
    </w:p>
    <w:p>
      <w:pPr>
        <w:pStyle w:val="Heading"/>
        <w:rPr>
          <w:sz w:val="48"/>
          <w:szCs w:val="48"/>
        </w:rPr>
      </w:pPr>
    </w:p>
    <w:p>
      <w:pPr>
        <w:pStyle w:val="Heading"/>
        <w:rPr>
          <w:sz w:val="48"/>
          <w:szCs w:val="48"/>
        </w:rPr>
      </w:pPr>
    </w:p>
    <w:p>
      <w:pPr>
        <w:pStyle w:val="Heading"/>
        <w:rPr>
          <w:sz w:val="48"/>
          <w:szCs w:val="48"/>
        </w:rPr>
      </w:pPr>
      <w:r>
        <w:rPr>
          <w:sz w:val="48"/>
          <w:szCs w:val="48"/>
          <w:rtl w:val="0"/>
          <w:lang w:val="en-US"/>
        </w:rPr>
        <w:t>Function of the office</w:t>
      </w:r>
    </w:p>
    <w:p>
      <w:pPr>
        <w:pStyle w:val="Body"/>
        <w:bidi w:val="0"/>
      </w:pPr>
    </w:p>
    <w:p>
      <w:pPr>
        <w:pStyle w:val="Body"/>
        <w:keepNext w:val="1"/>
        <w:keepLines w:val="0"/>
        <w:pageBreakBefore w:val="0"/>
        <w:framePr w:hSpace="0" w:hAnchor="text" w:vAnchor="text" w:wrap="around" w:dropCap="drop" w:lines="3"/>
        <w:widowControl w:val="1"/>
        <w:pBdr>
          <w:bottom w:val="nil"/>
          <w:right w:val="nil"/>
        </w:pBdr>
        <w:shd w:val="clear" w:color="auto" w:fill="auto"/>
        <w:suppressAutoHyphens w:val="0"/>
        <w:bidi w:val="0"/>
        <w:spacing w:before="0" w:after="0" w:line="1215" w:lineRule="exact"/>
        <w:ind w:left="0" w:right="0" w:firstLine="0"/>
        <w:jc w:val="left"/>
        <w:outlineLvl w:val="9"/>
        <w:textAlignment w:val="baseline"/>
        <w:rPr>
          <w:rtl w:val="0"/>
        </w:rPr>
      </w:pPr>
      <w:r>
        <w:rPr>
          <w:rFonts w:ascii="Graphik" w:cs="Graphik" w:hAnsi="Graphik" w:eastAsia="Graphik"/>
          <w:b w:val="1"/>
          <w:bCs w:val="1"/>
          <w:i w:val="0"/>
          <w:iCs w:val="0"/>
          <w:caps w:val="0"/>
          <w:smallCaps w:val="0"/>
          <w:strike w:val="0"/>
          <w:dstrike w:val="0"/>
          <w:outline w:val="0"/>
          <w:color w:val="56c1fe"/>
          <w:spacing w:val="0"/>
          <w:kern w:val="0"/>
          <w:position w:val="-5"/>
          <w:sz w:val="140"/>
          <w:szCs w:val="140"/>
          <w:u w:val="none" w:color="000000"/>
          <w:shd w:val="nil" w:color="auto" w:fill="auto"/>
          <w:vertAlign w:val="baseline"/>
          <w:rtl w:val="0"/>
          <w14:textOutline>
            <w14:noFill/>
          </w14:textOutline>
          <w14:textFill>
            <w14:gradFill w14:flip="none" w14:rotWithShape="1">
              <w14:gsLst>
                <w14:gs w14:pos="0">
                  <w14:srgbClr w14:val="56C1FF"/>
                </w14:gs>
                <w14:gs w14:pos="100000">
                  <w14:srgbClr w14:val="001238"/>
                </w14:gs>
              </w14:gsLst>
              <w14:lin w14:ang="5400000" w14:scaled="0"/>
            </w14:gradFill>
          </w14:textFill>
        </w:rPr>
        <w:t>T</w:t>
      </w:r>
    </w:p>
    <w:p>
      <w:pPr>
        <w:pStyle w:val="Body"/>
        <w:bidi w:val="0"/>
        <w:spacing w:after="0" w:line="360" w:lineRule="auto"/>
        <w:ind w:left="0" w:right="0" w:firstLine="0"/>
        <w:jc w:val="left"/>
        <w:rPr>
          <w:rFonts w:ascii="Microsoft Sans Serif" w:cs="Microsoft Sans Serif" w:hAnsi="Microsoft Sans Serif" w:eastAsia="Microsoft Sans Serif"/>
          <w:u w:color="000000"/>
          <w:rtl w:val="0"/>
        </w:rPr>
      </w:pPr>
      <w:r>
        <w:rPr>
          <w:rFonts w:ascii="Helvetica" w:hAnsi="Helvetica"/>
          <w:outline w:val="0"/>
          <w:color w:val="000000"/>
          <w:sz w:val="27"/>
          <w:szCs w:val="27"/>
          <w:u w:color="000000"/>
          <w:shd w:val="clear" w:color="auto" w:fill="ffffff"/>
          <w:rtl w:val="0"/>
          <w:lang w:val="en-US"/>
          <w14:textFill>
            <w14:solidFill>
              <w14:srgbClr w14:val="000000"/>
            </w14:solidFill>
          </w14:textFill>
        </w:rPr>
        <w:t>he Office of the County Coroner is established by the Constitution of the State of Colorado. The Coroner is elected to serve by the citizens of Pueblo County. The Coroner</w:t>
      </w:r>
      <w:r>
        <w:rPr>
          <w:rFonts w:ascii="Helvetica" w:hAnsi="Helvetica" w:hint="default"/>
          <w:outline w:val="0"/>
          <w:color w:val="000000"/>
          <w:sz w:val="27"/>
          <w:szCs w:val="27"/>
          <w:u w:color="000000"/>
          <w:shd w:val="clear" w:color="auto" w:fill="ffffff"/>
          <w:rtl w:val="0"/>
          <w:lang w:val="en-US"/>
          <w14:textFill>
            <w14:solidFill>
              <w14:srgbClr w14:val="000000"/>
            </w14:solidFill>
          </w14:textFill>
        </w:rPr>
        <w:t>’</w:t>
      </w:r>
      <w:r>
        <w:rPr>
          <w:rFonts w:ascii="Helvetica" w:hAnsi="Helvetica"/>
          <w:outline w:val="0"/>
          <w:color w:val="000000"/>
          <w:sz w:val="27"/>
          <w:szCs w:val="27"/>
          <w:u w:color="000000"/>
          <w:shd w:val="clear" w:color="auto" w:fill="ffffff"/>
          <w:rtl w:val="0"/>
          <w:lang w:val="en-US"/>
          <w14:textFill>
            <w14:solidFill>
              <w14:srgbClr w14:val="000000"/>
            </w14:solidFill>
          </w14:textFill>
        </w:rPr>
        <w:t xml:space="preserve">s Office is a separate and independent division of the Pueblo County Government and is funded through the General Fund. The Coroner, a Chief Deputy Coroner, </w:t>
      </w:r>
      <w:r>
        <w:rPr>
          <w:rFonts w:ascii="Helvetica" w:hAnsi="Helvetica"/>
          <w:outline w:val="0"/>
          <w:color w:val="000000"/>
          <w:sz w:val="27"/>
          <w:szCs w:val="27"/>
          <w:u w:color="000000"/>
          <w:shd w:val="clear" w:color="auto" w:fill="ffffff"/>
          <w:rtl w:val="0"/>
          <w:lang w:val="en-US"/>
          <w14:textFill>
            <w14:solidFill>
              <w14:srgbClr w14:val="000000"/>
            </w14:solidFill>
          </w14:textFill>
        </w:rPr>
        <w:t xml:space="preserve">three full-time Deputy Investigators, </w:t>
      </w:r>
      <w:r>
        <w:rPr>
          <w:rFonts w:ascii="Helvetica" w:hAnsi="Helvetica"/>
          <w:outline w:val="0"/>
          <w:color w:val="000000"/>
          <w:sz w:val="27"/>
          <w:szCs w:val="27"/>
          <w:u w:color="000000"/>
          <w:shd w:val="clear" w:color="auto" w:fill="ffffff"/>
          <w:rtl w:val="0"/>
          <w:lang w:val="en-US"/>
          <w14:textFill>
            <w14:solidFill>
              <w14:srgbClr w14:val="000000"/>
            </w14:solidFill>
          </w14:textFill>
        </w:rPr>
        <w:t>four part-time Deputy Investigators</w:t>
      </w:r>
      <w:r>
        <w:rPr>
          <w:rFonts w:ascii="Helvetica" w:hAnsi="Helvetica"/>
          <w:outline w:val="0"/>
          <w:color w:val="000000"/>
          <w:sz w:val="27"/>
          <w:szCs w:val="27"/>
          <w:u w:color="000000"/>
          <w:shd w:val="clear" w:color="auto" w:fill="ffffff"/>
          <w:rtl w:val="0"/>
          <w:lang w:val="en-US"/>
          <w14:textFill>
            <w14:solidFill>
              <w14:srgbClr w14:val="000000"/>
            </w14:solidFill>
          </w14:textFill>
        </w:rPr>
        <w:t>,</w:t>
      </w:r>
      <w:r>
        <w:rPr>
          <w:rFonts w:ascii="Helvetica" w:hAnsi="Helvetica"/>
          <w:outline w:val="0"/>
          <w:color w:val="000000"/>
          <w:sz w:val="27"/>
          <w:szCs w:val="27"/>
          <w:u w:color="000000"/>
          <w:shd w:val="clear" w:color="auto" w:fill="ffffff"/>
          <w:rtl w:val="0"/>
          <w:lang w:val="en-US"/>
          <w14:textFill>
            <w14:solidFill>
              <w14:srgbClr w14:val="000000"/>
            </w14:solidFill>
          </w14:textFill>
        </w:rPr>
        <w:t xml:space="preserve"> and a </w:t>
      </w:r>
      <w:r>
        <w:rPr>
          <w:rFonts w:ascii="Helvetica" w:hAnsi="Helvetica"/>
          <w:outline w:val="0"/>
          <w:color w:val="000000"/>
          <w:sz w:val="27"/>
          <w:szCs w:val="27"/>
          <w:u w:color="000000"/>
          <w:shd w:val="clear" w:color="auto" w:fill="ffffff"/>
          <w:rtl w:val="0"/>
          <w:lang w:val="en-US"/>
          <w14:textFill>
            <w14:solidFill>
              <w14:srgbClr w14:val="000000"/>
            </w14:solidFill>
          </w14:textFill>
        </w:rPr>
        <w:t>full</w:t>
      </w:r>
      <w:r>
        <w:rPr>
          <w:rFonts w:ascii="Helvetica" w:hAnsi="Helvetica"/>
          <w:outline w:val="0"/>
          <w:color w:val="000000"/>
          <w:sz w:val="27"/>
          <w:szCs w:val="27"/>
          <w:u w:color="000000"/>
          <w:shd w:val="clear" w:color="auto" w:fill="ffffff"/>
          <w:rtl w:val="0"/>
          <w:lang w:val="en-US"/>
          <w14:textFill>
            <w14:solidFill>
              <w14:srgbClr w14:val="000000"/>
            </w14:solidFill>
          </w14:textFill>
        </w:rPr>
        <w:t>-time Administrative Assistant staff this department.</w:t>
      </w:r>
    </w:p>
    <w:p>
      <w:pPr>
        <w:pStyle w:val="Body"/>
        <w:bidi w:val="0"/>
        <w:spacing w:after="180" w:line="336" w:lineRule="auto"/>
        <w:ind w:left="0" w:right="0" w:firstLine="0"/>
        <w:jc w:val="left"/>
        <w:rPr>
          <w:rFonts w:ascii="Microsoft Sans Serif" w:cs="Microsoft Sans Serif" w:hAnsi="Microsoft Sans Serif" w:eastAsia="Microsoft Sans Serif"/>
          <w:u w:color="000000"/>
          <w:rtl w:val="0"/>
        </w:rPr>
      </w:pPr>
    </w:p>
    <w:p>
      <w:pPr>
        <w:pStyle w:val="Body"/>
        <w:bidi w:val="0"/>
        <w:spacing w:after="180" w:line="336" w:lineRule="auto"/>
        <w:ind w:left="0" w:right="0" w:firstLine="0"/>
        <w:jc w:val="left"/>
        <w:rPr>
          <w:rFonts w:ascii="Helvetica" w:cs="Helvetica" w:hAnsi="Helvetica" w:eastAsia="Helvetica"/>
          <w:outline w:val="0"/>
          <w:color w:val="000000"/>
          <w:sz w:val="27"/>
          <w:szCs w:val="27"/>
          <w:u w:color="000000"/>
          <w:shd w:val="clear" w:color="auto" w:fill="ffffff"/>
          <w:rtl w:val="0"/>
          <w14:textFill>
            <w14:solidFill>
              <w14:srgbClr w14:val="000000"/>
            </w14:solidFill>
          </w14:textFill>
        </w:rPr>
      </w:pPr>
      <w:r>
        <w:rPr>
          <w:rFonts w:ascii="Helvetica" w:hAnsi="Helvetica"/>
          <w:outline w:val="0"/>
          <w:color w:val="000000"/>
          <w:sz w:val="27"/>
          <w:szCs w:val="27"/>
          <w:u w:color="000000"/>
          <w:shd w:val="clear" w:color="auto" w:fill="ffffff"/>
          <w:rtl w:val="0"/>
          <w:lang w:val="en-US"/>
          <w14:textFill>
            <w14:solidFill>
              <w14:srgbClr w14:val="000000"/>
            </w14:solidFill>
          </w14:textFill>
        </w:rPr>
        <w:t>The Coroner and staff recognize the tragedy surrounding an untimely death and perform investigations, in part, to assist the grieving family. A complete forensic investigation provides for the expeditious settling of insurance claims and estates, as well the implementation of civil and criminal actions. Questions which seem irrelevant in the initial hours after death can become significant in the following months. The surviving family and general public can have the peace of mind that a complete investigation was done. The Coroner works in cooperation with the law enforcement community but conducts a separate and unbiased investigation.</w:t>
      </w:r>
    </w:p>
    <w:p>
      <w:pPr>
        <w:pStyle w:val="Body"/>
        <w:shd w:val="clear" w:color="auto" w:fill="ffffff"/>
        <w:bidi w:val="0"/>
        <w:spacing w:after="150" w:line="240" w:lineRule="auto"/>
        <w:ind w:left="0" w:right="0" w:firstLine="0"/>
        <w:jc w:val="left"/>
        <w:rPr>
          <w:rFonts w:ascii="Helvetica" w:cs="Helvetica" w:hAnsi="Helvetica" w:eastAsia="Helvetica"/>
          <w:outline w:val="0"/>
          <w:color w:val="000000"/>
          <w:sz w:val="27"/>
          <w:szCs w:val="27"/>
          <w:u w:color="000000"/>
          <w:shd w:val="clear" w:color="auto" w:fill="ffffff"/>
          <w:rtl w:val="0"/>
          <w14:textFill>
            <w14:solidFill>
              <w14:srgbClr w14:val="000000"/>
            </w14:solidFill>
          </w14:textFill>
        </w:rPr>
      </w:pPr>
    </w:p>
    <w:p>
      <w:pPr>
        <w:pStyle w:val="Body"/>
        <w:shd w:val="clear" w:color="auto" w:fill="ffffff"/>
        <w:bidi w:val="0"/>
        <w:spacing w:after="150" w:line="240" w:lineRule="auto"/>
        <w:ind w:left="0" w:right="0" w:firstLine="0"/>
        <w:jc w:val="left"/>
        <w:rPr>
          <w:rFonts w:ascii="Helvetica" w:cs="Helvetica" w:hAnsi="Helvetica" w:eastAsia="Helvetica"/>
          <w:outline w:val="0"/>
          <w:color w:val="000000"/>
          <w:sz w:val="27"/>
          <w:szCs w:val="27"/>
          <w:u w:color="000000"/>
          <w:rtl w:val="0"/>
          <w14:textFill>
            <w14:solidFill>
              <w14:srgbClr w14:val="000000"/>
            </w14:solidFill>
          </w14:textFill>
        </w:rPr>
      </w:pPr>
      <w:r>
        <w:rPr>
          <w:rFonts w:ascii="Helvetica" w:hAnsi="Helvetica"/>
          <w:outline w:val="0"/>
          <w:color w:val="000000"/>
          <w:sz w:val="27"/>
          <w:szCs w:val="27"/>
          <w:u w:color="000000"/>
          <w:rtl w:val="0"/>
          <w:lang w:val="en-US"/>
          <w14:textFill>
            <w14:solidFill>
              <w14:srgbClr w14:val="000000"/>
            </w14:solidFill>
          </w14:textFill>
        </w:rPr>
        <w:t>The Coroner has the authority to review and/or investigate any death if circumstances warrant. By Colorado Revised Statute, the Coroner</w:t>
      </w:r>
      <w:r>
        <w:rPr>
          <w:rFonts w:ascii="Helvetica" w:hAnsi="Helvetica" w:hint="default"/>
          <w:outline w:val="0"/>
          <w:color w:val="000000"/>
          <w:sz w:val="27"/>
          <w:szCs w:val="27"/>
          <w:u w:color="000000"/>
          <w:rtl w:val="0"/>
          <w:lang w:val="en-US"/>
          <w14:textFill>
            <w14:solidFill>
              <w14:srgbClr w14:val="000000"/>
            </w14:solidFill>
          </w14:textFill>
        </w:rPr>
        <w:t>’</w:t>
      </w:r>
      <w:r>
        <w:rPr>
          <w:rFonts w:ascii="Helvetica" w:hAnsi="Helvetica"/>
          <w:outline w:val="0"/>
          <w:color w:val="000000"/>
          <w:sz w:val="27"/>
          <w:szCs w:val="27"/>
          <w:u w:color="000000"/>
          <w:rtl w:val="0"/>
          <w:lang w:val="en-US"/>
          <w14:textFill>
            <w14:solidFill>
              <w14:srgbClr w14:val="000000"/>
            </w14:solidFill>
          </w14:textFill>
        </w:rPr>
        <w:t>s Office determines the cause of death in all of the following circumstances:</w:t>
      </w:r>
    </w:p>
    <w:p>
      <w:pPr>
        <w:pStyle w:val="Body"/>
        <w:numPr>
          <w:ilvl w:val="0"/>
          <w:numId w:val="2"/>
        </w:numPr>
        <w:shd w:val="clear" w:color="auto" w:fill="ffffff"/>
        <w:spacing w:before="100" w:after="100" w:line="240" w:lineRule="auto"/>
        <w:jc w:val="left"/>
        <w:rPr>
          <w:rFonts w:ascii="Helvetica" w:hAnsi="Helvetica"/>
          <w:sz w:val="27"/>
          <w:szCs w:val="27"/>
          <w:u w:color="000000"/>
          <w:lang w:val="en-US"/>
        </w:rPr>
      </w:pPr>
      <w:r>
        <w:rPr>
          <w:rFonts w:ascii="Helvetica" w:hAnsi="Helvetica"/>
          <w:outline w:val="0"/>
          <w:color w:val="000000"/>
          <w:sz w:val="27"/>
          <w:szCs w:val="27"/>
          <w:u w:color="000000"/>
          <w:rtl w:val="0"/>
          <w:lang w:val="en-US"/>
          <w14:textFill>
            <w14:solidFill>
              <w14:srgbClr w14:val="000000"/>
            </w14:solidFill>
          </w14:textFill>
        </w:rPr>
        <w:t>Disease that may be hazardous or contagious, or that may constitute a threat to the health of the general public</w:t>
      </w:r>
    </w:p>
    <w:p>
      <w:pPr>
        <w:pStyle w:val="Body"/>
        <w:numPr>
          <w:ilvl w:val="0"/>
          <w:numId w:val="2"/>
        </w:numPr>
        <w:shd w:val="clear" w:color="auto" w:fill="ffffff"/>
        <w:spacing w:before="100" w:after="100" w:line="240" w:lineRule="auto"/>
        <w:jc w:val="left"/>
        <w:rPr>
          <w:rFonts w:ascii="Helvetica" w:hAnsi="Helvetica"/>
          <w:sz w:val="27"/>
          <w:szCs w:val="27"/>
          <w:u w:color="000000"/>
          <w:lang w:val="en-US"/>
        </w:rPr>
      </w:pPr>
      <w:r>
        <w:rPr>
          <w:rFonts w:ascii="Helvetica" w:hAnsi="Helvetica"/>
          <w:outline w:val="0"/>
          <w:color w:val="000000"/>
          <w:sz w:val="27"/>
          <w:szCs w:val="27"/>
          <w:u w:color="000000"/>
          <w:rtl w:val="0"/>
          <w:lang w:val="en-US"/>
          <w14:textFill>
            <w14:solidFill>
              <w14:srgbClr w14:val="000000"/>
            </w14:solidFill>
          </w14:textFill>
        </w:rPr>
        <w:t>Any external violence, unexplained cause or suspicious circumstances or any type of accident</w:t>
      </w:r>
    </w:p>
    <w:p>
      <w:pPr>
        <w:pStyle w:val="Body"/>
        <w:numPr>
          <w:ilvl w:val="0"/>
          <w:numId w:val="2"/>
        </w:numPr>
        <w:shd w:val="clear" w:color="auto" w:fill="ffffff"/>
        <w:spacing w:before="100" w:after="100" w:line="240" w:lineRule="auto"/>
        <w:jc w:val="left"/>
        <w:rPr>
          <w:rFonts w:ascii="Helvetica" w:hAnsi="Helvetica"/>
          <w:sz w:val="27"/>
          <w:szCs w:val="27"/>
          <w:u w:color="000000"/>
          <w:lang w:val="en-US"/>
        </w:rPr>
      </w:pPr>
      <w:r>
        <w:rPr>
          <w:rFonts w:ascii="Helvetica" w:hAnsi="Helvetica"/>
          <w:outline w:val="0"/>
          <w:color w:val="000000"/>
          <w:sz w:val="27"/>
          <w:szCs w:val="27"/>
          <w:u w:color="000000"/>
          <w:rtl w:val="0"/>
          <w:lang w:val="en-US"/>
          <w14:textFill>
            <w14:solidFill>
              <w14:srgbClr w14:val="000000"/>
            </w14:solidFill>
          </w14:textFill>
        </w:rPr>
        <w:t>When no physician is in attendance, or the physician in attendance is unable to certify the cause of death</w:t>
      </w:r>
    </w:p>
    <w:p>
      <w:pPr>
        <w:pStyle w:val="Body"/>
        <w:numPr>
          <w:ilvl w:val="0"/>
          <w:numId w:val="2"/>
        </w:numPr>
        <w:shd w:val="clear" w:color="auto" w:fill="ffffff"/>
        <w:spacing w:before="100" w:after="100" w:line="240" w:lineRule="auto"/>
        <w:jc w:val="left"/>
        <w:rPr>
          <w:rFonts w:ascii="Helvetica" w:hAnsi="Helvetica"/>
          <w:sz w:val="27"/>
          <w:szCs w:val="27"/>
          <w:u w:color="000000"/>
          <w:lang w:val="en-US"/>
        </w:rPr>
      </w:pPr>
      <w:r>
        <w:rPr>
          <w:rFonts w:ascii="Helvetica" w:hAnsi="Helvetica"/>
          <w:outline w:val="0"/>
          <w:color w:val="000000"/>
          <w:sz w:val="27"/>
          <w:szCs w:val="27"/>
          <w:u w:color="000000"/>
          <w:rtl w:val="0"/>
          <w:lang w:val="en-US"/>
          <w14:textFill>
            <w14:solidFill>
              <w14:srgbClr w14:val="000000"/>
            </w14:solidFill>
          </w14:textFill>
        </w:rPr>
        <w:t>Thermal, chemical, radiation injury or criminal abortion</w:t>
      </w:r>
    </w:p>
    <w:p>
      <w:pPr>
        <w:pStyle w:val="Body"/>
        <w:numPr>
          <w:ilvl w:val="0"/>
          <w:numId w:val="2"/>
        </w:numPr>
        <w:shd w:val="clear" w:color="auto" w:fill="ffffff"/>
        <w:spacing w:before="100" w:after="100" w:line="240" w:lineRule="auto"/>
        <w:jc w:val="left"/>
        <w:rPr>
          <w:rFonts w:ascii="Helvetica" w:hAnsi="Helvetica"/>
          <w:sz w:val="27"/>
          <w:szCs w:val="27"/>
          <w:u w:color="000000"/>
          <w:lang w:val="en-US"/>
        </w:rPr>
      </w:pPr>
      <w:r>
        <w:rPr>
          <w:rFonts w:ascii="Helvetica" w:hAnsi="Helvetica"/>
          <w:outline w:val="0"/>
          <w:color w:val="000000"/>
          <w:sz w:val="27"/>
          <w:szCs w:val="27"/>
          <w:u w:color="000000"/>
          <w:rtl w:val="0"/>
          <w:lang w:val="en-US"/>
          <w14:textFill>
            <w14:solidFill>
              <w14:srgbClr w14:val="000000"/>
            </w14:solidFill>
          </w14:textFill>
        </w:rPr>
        <w:t>When death occurs while in the custody of law enforcement officials or while incarcerated in a public institution</w:t>
      </w:r>
    </w:p>
    <w:p>
      <w:pPr>
        <w:pStyle w:val="Body"/>
        <w:numPr>
          <w:ilvl w:val="0"/>
          <w:numId w:val="2"/>
        </w:numPr>
        <w:shd w:val="clear" w:color="auto" w:fill="ffffff"/>
        <w:spacing w:before="100" w:after="100" w:line="240" w:lineRule="auto"/>
        <w:jc w:val="left"/>
        <w:rPr>
          <w:rFonts w:ascii="Helvetica" w:hAnsi="Helvetica"/>
          <w:sz w:val="27"/>
          <w:szCs w:val="27"/>
          <w:u w:color="000000"/>
          <w:lang w:val="en-US"/>
        </w:rPr>
      </w:pPr>
      <w:r>
        <w:rPr>
          <w:rFonts w:ascii="Helvetica" w:hAnsi="Helvetica"/>
          <w:outline w:val="0"/>
          <w:color w:val="000000"/>
          <w:sz w:val="27"/>
          <w:szCs w:val="27"/>
          <w:u w:color="000000"/>
          <w:rtl w:val="0"/>
          <w:lang w:val="en-US"/>
          <w14:textFill>
            <w14:solidFill>
              <w14:srgbClr w14:val="000000"/>
            </w14:solidFill>
          </w14:textFill>
        </w:rPr>
        <w:t>When death is sudden and occurs while person is deemed in good health</w:t>
      </w:r>
    </w:p>
    <w:p>
      <w:pPr>
        <w:pStyle w:val="Body"/>
        <w:numPr>
          <w:ilvl w:val="0"/>
          <w:numId w:val="2"/>
        </w:numPr>
        <w:shd w:val="clear" w:color="auto" w:fill="ffffff"/>
        <w:spacing w:before="100" w:after="100" w:line="240" w:lineRule="auto"/>
        <w:jc w:val="left"/>
        <w:rPr>
          <w:rFonts w:ascii="Helvetica" w:hAnsi="Helvetica"/>
          <w:sz w:val="27"/>
          <w:szCs w:val="27"/>
          <w:u w:color="000000"/>
          <w:lang w:val="en-US"/>
        </w:rPr>
      </w:pPr>
      <w:r>
        <w:rPr>
          <w:rFonts w:ascii="Helvetica" w:hAnsi="Helvetica"/>
          <w:outline w:val="0"/>
          <w:color w:val="000000"/>
          <w:sz w:val="27"/>
          <w:szCs w:val="27"/>
          <w:u w:color="000000"/>
          <w:rtl w:val="0"/>
          <w:lang w:val="en-US"/>
          <w14:textFill>
            <w14:solidFill>
              <w14:srgbClr w14:val="000000"/>
            </w14:solidFill>
          </w14:textFill>
        </w:rPr>
        <w:t>When death occurs in a hospital less than 24 hours after admission</w:t>
      </w:r>
    </w:p>
    <w:p>
      <w:pPr>
        <w:pStyle w:val="Body"/>
        <w:shd w:val="clear" w:color="auto" w:fill="ffffff"/>
        <w:tabs>
          <w:tab w:val="left" w:pos="720"/>
        </w:tabs>
        <w:spacing w:before="100" w:after="100" w:line="240" w:lineRule="auto"/>
        <w:jc w:val="left"/>
        <w:rPr>
          <w:rFonts w:ascii="Helvetica" w:cs="Helvetica" w:hAnsi="Helvetica" w:eastAsia="Helvetica"/>
          <w:outline w:val="0"/>
          <w:color w:val="000000"/>
          <w:sz w:val="27"/>
          <w:szCs w:val="27"/>
          <w:u w:color="000000"/>
          <w14:textFill>
            <w14:solidFill>
              <w14:srgbClr w14:val="000000"/>
            </w14:solidFill>
          </w14:textFill>
        </w:rPr>
      </w:pPr>
    </w:p>
    <w:p>
      <w:pPr>
        <w:pStyle w:val="Body"/>
        <w:bidi w:val="0"/>
        <w:spacing w:after="180" w:line="336" w:lineRule="auto"/>
        <w:ind w:left="0" w:right="0" w:firstLine="0"/>
        <w:jc w:val="left"/>
        <w:rPr>
          <w:rtl w:val="0"/>
        </w:rPr>
      </w:pPr>
      <w:r>
        <w:rPr>
          <w:rFonts w:ascii="Helvetica" w:hAnsi="Helvetica"/>
          <w:outline w:val="0"/>
          <w:color w:val="000000"/>
          <w:sz w:val="27"/>
          <w:szCs w:val="27"/>
          <w:u w:color="000000"/>
          <w:shd w:val="clear" w:color="auto" w:fill="ffffff"/>
          <w:rtl w:val="0"/>
          <w:lang w:val="en-US"/>
          <w14:textFill>
            <w14:solidFill>
              <w14:srgbClr w14:val="000000"/>
            </w14:solidFill>
          </w14:textFill>
        </w:rPr>
        <w:t>Although criminal death investigations constitute a small portion of deaths investigated by the Coroner, these deaths are studied in great detail because of the issues and legal consequences involved. By this action, the criminal justice system is offered the best support. The public health dimension of the Coroner</w:t>
      </w:r>
      <w:r>
        <w:rPr>
          <w:rFonts w:ascii="Helvetica" w:hAnsi="Helvetica" w:hint="default"/>
          <w:outline w:val="0"/>
          <w:color w:val="000000"/>
          <w:sz w:val="27"/>
          <w:szCs w:val="27"/>
          <w:u w:color="000000"/>
          <w:shd w:val="clear" w:color="auto" w:fill="ffffff"/>
          <w:rtl w:val="0"/>
          <w:lang w:val="en-US"/>
          <w14:textFill>
            <w14:solidFill>
              <w14:srgbClr w14:val="000000"/>
            </w14:solidFill>
          </w14:textFill>
        </w:rPr>
        <w:t>’</w:t>
      </w:r>
      <w:r>
        <w:rPr>
          <w:rFonts w:ascii="Helvetica" w:hAnsi="Helvetica"/>
          <w:outline w:val="0"/>
          <w:color w:val="000000"/>
          <w:sz w:val="27"/>
          <w:szCs w:val="27"/>
          <w:u w:color="000000"/>
          <w:shd w:val="clear" w:color="auto" w:fill="ffffff"/>
          <w:rtl w:val="0"/>
          <w:lang w:val="en-US"/>
          <w14:textFill>
            <w14:solidFill>
              <w14:srgbClr w14:val="000000"/>
            </w14:solidFill>
          </w14:textFill>
        </w:rPr>
        <w:t>s function is designed to isolate and identify causes of sudden unexpected death. When an infectious agent or poison is implicated in a death, the family and persons recently in physical contact with the deceased are notified in order that they might receive any needed medical treatment</w:t>
      </w:r>
      <w:r>
        <w:rPr>
          <w:rFonts w:ascii="Helvetica" w:hAnsi="Helvetica"/>
          <w:outline w:val="0"/>
          <w:color w:val="000000"/>
          <w:sz w:val="27"/>
          <w:szCs w:val="27"/>
          <w:u w:color="000000"/>
          <w:shd w:val="clear" w:color="auto" w:fill="ffffff"/>
          <w:rtl w:val="0"/>
          <w:lang w:val="en-US"/>
          <w14:textFill>
            <w14:solidFill>
              <w14:srgbClr w14:val="000000"/>
            </w14:solidFill>
          </w14:textFill>
        </w:rPr>
        <w:t>.</w:t>
      </w:r>
      <w:r>
        <w:rPr>
          <w:rFonts w:ascii="Helvetica" w:cs="Helvetica" w:hAnsi="Helvetica" w:eastAsia="Helvetica"/>
          <w:outline w:val="0"/>
          <w:color w:val="000000"/>
          <w:sz w:val="27"/>
          <w:szCs w:val="27"/>
          <w:u w:color="000000"/>
          <w:shd w:val="clear" w:color="auto" w:fill="ffffff"/>
          <w:rtl w:val="0"/>
          <w14:textFill>
            <w14:solidFill>
              <w14:srgbClr w14:val="000000"/>
            </w14:solidFill>
          </w14:textFill>
        </w:rPr>
        <w:drawing xmlns:a="http://schemas.openxmlformats.org/drawingml/2006/main">
          <wp:anchor distT="152400" distB="152400" distL="152400" distR="152400" simplePos="0" relativeHeight="251665408" behindDoc="0" locked="0" layoutInCell="1" allowOverlap="1">
            <wp:simplePos x="0" y="0"/>
            <wp:positionH relativeFrom="margin">
              <wp:posOffset>613859</wp:posOffset>
            </wp:positionH>
            <wp:positionV relativeFrom="line">
              <wp:posOffset>412511</wp:posOffset>
            </wp:positionV>
            <wp:extent cx="5160381" cy="3870286"/>
            <wp:effectExtent l="0" t="0" r="0" b="0"/>
            <wp:wrapTopAndBottom distT="152400" distB="152400"/>
            <wp:docPr id="1073741831" name="officeArt object" descr="Image"/>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1"/>
                    </pic:cNvPicPr>
                  </pic:nvPicPr>
                  <pic:blipFill>
                    <a:blip r:embed="rId8">
                      <a:extLst/>
                    </a:blip>
                    <a:stretch>
                      <a:fillRect/>
                    </a:stretch>
                  </pic:blipFill>
                  <pic:spPr>
                    <a:xfrm>
                      <a:off x="0" y="0"/>
                      <a:ext cx="5160381" cy="3870286"/>
                    </a:xfrm>
                    <a:prstGeom prst="rect">
                      <a:avLst/>
                    </a:prstGeom>
                    <a:ln w="12700" cap="flat">
                      <a:noFill/>
                      <a:miter lim="400000"/>
                    </a:ln>
                    <a:effectLst/>
                  </pic:spPr>
                </pic:pic>
              </a:graphicData>
            </a:graphic>
          </wp:anchor>
        </w:drawing>
      </w:r>
      <w:r>
        <w:rPr>
          <w:rFonts w:ascii="Arial Unicode MS" w:cs="Arial Unicode MS" w:hAnsi="Arial Unicode MS" w:eastAsia="Arial Unicode MS"/>
          <w:b w:val="0"/>
          <w:bCs w:val="0"/>
          <w:i w:val="0"/>
          <w:iCs w:val="0"/>
          <w:outline w:val="0"/>
          <w:color w:val="000000"/>
          <w:sz w:val="27"/>
          <w:szCs w:val="27"/>
          <w:u w:color="000000"/>
          <w:shd w:val="clear" w:color="auto" w:fill="ffffff"/>
          <w:rtl w:val="0"/>
          <w14:textFill>
            <w14:solidFill>
              <w14:srgbClr w14:val="000000"/>
            </w14:solidFill>
          </w14:textFill>
        </w:rPr>
        <w:br w:type="page"/>
      </w:r>
    </w:p>
    <w:p>
      <w:pPr>
        <w:pStyle w:val="Heading"/>
        <w:pageBreakBefore w:val="1"/>
        <w:bidi w:val="0"/>
        <w:spacing w:before="480" w:after="120" w:line="240" w:lineRule="auto"/>
        <w:ind w:left="0" w:right="0" w:firstLine="0"/>
        <w:jc w:val="left"/>
        <w:rPr>
          <w:outline w:val="0"/>
          <w:color w:val="216cff"/>
          <w:spacing w:val="0"/>
          <w:sz w:val="46"/>
          <w:szCs w:val="46"/>
          <w:u w:color="000000"/>
          <w:rtl w:val="0"/>
          <w14:textFill>
            <w14:solidFill>
              <w14:srgbClr w14:val="226DFF"/>
            </w14:solidFill>
          </w14:textFill>
        </w:rPr>
      </w:pPr>
      <w:r>
        <w:rPr>
          <w:outline w:val="0"/>
          <w:color w:val="216cff"/>
          <w:spacing w:val="0"/>
          <w:sz w:val="46"/>
          <w:szCs w:val="46"/>
          <w:u w:color="000000"/>
          <w:rtl w:val="0"/>
          <w:lang w:val="en-US"/>
          <w14:textFill>
            <w14:solidFill>
              <w14:srgbClr w14:val="226DFF"/>
            </w14:solidFill>
          </w14:textFill>
        </w:rPr>
        <w:t>Staff of the Pueblo County Coroner</w:t>
      </w:r>
    </w:p>
    <w:p>
      <w:pPr>
        <w:pStyle w:val="Body"/>
        <w:bidi w:val="0"/>
        <w:spacing w:after="0" w:line="360" w:lineRule="auto"/>
        <w:ind w:left="0" w:right="0" w:firstLine="0"/>
        <w:jc w:val="left"/>
        <w:rPr>
          <w:rFonts w:ascii="Microsoft Sans Serif" w:cs="Microsoft Sans Serif" w:hAnsi="Microsoft Sans Serif" w:eastAsia="Microsoft Sans Serif"/>
          <w:u w:color="000000"/>
          <w:rtl w:val="0"/>
        </w:rPr>
      </w:pPr>
    </w:p>
    <w:p>
      <w:pPr>
        <w:keepNext w:val="0"/>
        <w:keepLines w:val="0"/>
        <w:pageBreakBefore w:val="0"/>
        <w:widowControl w:val="1"/>
        <w:shd w:val="clear" w:color="auto" w:fill="auto"/>
        <w:suppressAutoHyphens w:val="0"/>
        <w:bidi w:val="0"/>
        <w:spacing w:before="240" w:after="240" w:line="288" w:lineRule="auto"/>
        <w:ind w:left="0" w:right="0" w:firstLine="0"/>
        <w:jc w:val="left"/>
        <w:outlineLvl w:val="9"/>
        <w:rPr>
          <w:rFonts w:ascii="Arial Black" w:cs="Arial Black" w:hAnsi="Arial Black" w:eastAsia="Arial Black"/>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Arial Black" w:cs="Arial Unicode MS" w:hAnsi="Arial Black" w:eastAsia="Arial Unicode MS"/>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noFill/>
          </w14:textOutline>
          <w14:textFill>
            <w14:solidFill>
              <w14:srgbClr w14:val="000000"/>
            </w14:solidFill>
          </w14:textFill>
        </w:rPr>
        <w:t>Elected Coroner:  Brian Cotter</w:t>
      </w:r>
    </w:p>
    <w:p>
      <w:pPr>
        <w:keepNext w:val="0"/>
        <w:keepLines w:val="0"/>
        <w:pageBreakBefore w:val="0"/>
        <w:widowControl w:val="1"/>
        <w:shd w:val="clear" w:color="auto" w:fill="auto"/>
        <w:suppressAutoHyphens w:val="0"/>
        <w:bidi w:val="0"/>
        <w:spacing w:before="240" w:after="240" w:line="288" w:lineRule="auto"/>
        <w:ind w:left="0" w:right="0" w:firstLine="0"/>
        <w:jc w:val="left"/>
        <w:outlineLvl w:val="9"/>
        <w:rPr>
          <w:rFonts w:ascii="Microsoft Sans Serif" w:cs="Microsoft Sans Serif" w:hAnsi="Microsoft Sans Serif" w:eastAsia="Microsoft Sans Serif"/>
          <w:b w:val="0"/>
          <w:bCs w:val="0"/>
          <w:i w:val="0"/>
          <w:iCs w:val="0"/>
          <w:caps w:val="0"/>
          <w:smallCaps w:val="0"/>
          <w:strike w:val="0"/>
          <w:dstrike w:val="0"/>
          <w:outline w:val="0"/>
          <w:color w:val="000000"/>
          <w:spacing w:val="2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pPr>
      <w:r>
        <w:rPr>
          <w:rFonts w:ascii="Microsoft Sans Serif" w:cs="Arial Unicode MS" w:hAnsi="Microsoft Sans Serif" w:eastAsia="Arial Unicode MS"/>
          <w:b w:val="0"/>
          <w:bCs w:val="0"/>
          <w:i w:val="0"/>
          <w:iCs w:val="0"/>
          <w:caps w:val="0"/>
          <w:smallCaps w:val="0"/>
          <w:strike w:val="0"/>
          <w:dstrike w:val="0"/>
          <w:outline w:val="0"/>
          <w:color w:val="000000"/>
          <w:spacing w:val="2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 xml:space="preserve">                       </w:t>
      </w:r>
      <w:r>
        <w:rPr>
          <w:rFonts w:ascii="Microsoft Sans Serif" w:cs="Arial Unicode MS" w:hAnsi="Microsoft Sans Serif" w:eastAsia="Arial Unicode MS"/>
          <w:b w:val="0"/>
          <w:bCs w:val="0"/>
          <w:i w:val="0"/>
          <w:iCs w:val="0"/>
          <w:caps w:val="0"/>
          <w:smallCaps w:val="0"/>
          <w:strike w:val="0"/>
          <w:dstrike w:val="0"/>
          <w:outline w:val="0"/>
          <w:color w:val="000000"/>
          <w:spacing w:val="2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 xml:space="preserve"> </w:t>
      </w:r>
      <w:r>
        <w:rPr>
          <w:rFonts w:ascii="Microsoft Sans Serif" w:cs="Microsoft Sans Serif" w:hAnsi="Microsoft Sans Serif" w:eastAsia="Microsoft Sans Serif"/>
          <w:b w:val="0"/>
          <w:bCs w:val="0"/>
          <w:i w:val="0"/>
          <w:iCs w:val="0"/>
          <w:caps w:val="0"/>
          <w:smallCaps w:val="0"/>
          <w:strike w:val="0"/>
          <w:dstrike w:val="0"/>
          <w:outline w:val="0"/>
          <w:color w:val="000000"/>
          <w:spacing w:val="2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drawing xmlns:a="http://schemas.openxmlformats.org/drawingml/2006/main">
          <wp:inline distT="0" distB="0" distL="0" distR="0">
            <wp:extent cx="2009197" cy="2506152"/>
            <wp:effectExtent l="0" t="0" r="0" b="0"/>
            <wp:docPr id="1073741832" name="officeArt object" descr="Image"/>
            <wp:cNvGraphicFramePr/>
            <a:graphic xmlns:a="http://schemas.openxmlformats.org/drawingml/2006/main">
              <a:graphicData uri="http://schemas.openxmlformats.org/drawingml/2006/picture">
                <pic:pic xmlns:pic="http://schemas.openxmlformats.org/drawingml/2006/picture">
                  <pic:nvPicPr>
                    <pic:cNvPr id="1073741832" name="Image" descr="Image"/>
                    <pic:cNvPicPr>
                      <a:picLocks noChangeAspect="1"/>
                    </pic:cNvPicPr>
                  </pic:nvPicPr>
                  <pic:blipFill>
                    <a:blip r:embed="rId9">
                      <a:extLst/>
                    </a:blip>
                    <a:stretch>
                      <a:fillRect/>
                    </a:stretch>
                  </pic:blipFill>
                  <pic:spPr>
                    <a:xfrm>
                      <a:off x="0" y="0"/>
                      <a:ext cx="2009197" cy="2506152"/>
                    </a:xfrm>
                    <a:prstGeom prst="rect">
                      <a:avLst/>
                    </a:prstGeom>
                    <a:ln w="12700" cap="flat">
                      <a:noFill/>
                      <a:miter lim="400000"/>
                    </a:ln>
                    <a:effectLst/>
                  </pic:spPr>
                </pic:pic>
              </a:graphicData>
            </a:graphic>
          </wp:inline>
        </w:drawing>
      </w:r>
    </w:p>
    <w:p>
      <w:pPr>
        <w:pStyle w:val="Default"/>
        <w:bidi w:val="0"/>
        <w:ind w:left="0" w:right="0" w:firstLine="0"/>
        <w:jc w:val="left"/>
        <w:rPr>
          <w:rFonts w:ascii="Times Roman" w:cs="Times Roman" w:hAnsi="Times Roman" w:eastAsia="Times Roman"/>
          <w:sz w:val="24"/>
          <w:szCs w:val="24"/>
          <w:rtl w:val="0"/>
        </w:rPr>
      </w:pPr>
      <w:r>
        <w:rPr>
          <w:rFonts w:ascii="Times Roman" w:hAnsi="Times Roman"/>
          <w:sz w:val="24"/>
          <w:szCs w:val="24"/>
          <w:rtl w:val="0"/>
        </w:rPr>
        <w:t xml:space="preserve"> </w:t>
      </w:r>
    </w:p>
    <w:p>
      <w:pPr>
        <w:keepNext w:val="0"/>
        <w:keepLines w:val="0"/>
        <w:pageBreakBefore w:val="0"/>
        <w:widowControl w:val="1"/>
        <w:shd w:val="clear" w:color="auto" w:fill="auto"/>
        <w:suppressAutoHyphens w:val="0"/>
        <w:bidi w:val="0"/>
        <w:spacing w:before="0" w:after="0" w:line="360" w:lineRule="auto"/>
        <w:ind w:left="0" w:right="0" w:firstLine="0"/>
        <w:jc w:val="left"/>
        <w:outlineLvl w:val="9"/>
        <w:rPr>
          <w:rFonts w:ascii="Microsoft Sans Serif" w:cs="Microsoft Sans Serif" w:hAnsi="Microsoft Sans Serif" w:eastAsia="Microsoft Sans Serif"/>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Microsoft Sans Serif" w:cs="Microsoft Sans Serif" w:hAnsi="Microsoft Sans Serif" w:eastAsia="Microsoft Sans Serif"/>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Microsoft Sans Serif" w:cs="Microsoft Sans Serif" w:hAnsi="Microsoft Sans Serif" w:eastAsia="Microsoft Sans Serif"/>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Microsoft Sans Serif" w:cs="Microsoft Sans Serif" w:hAnsi="Microsoft Sans Serif" w:eastAsia="Microsoft Sans Serif"/>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pPr>
      <w:r>
        <w:rPr>
          <w:rFonts w:ascii="Microsoft Sans Serif" w:cs="Arial Unicode MS" w:hAnsi="Microsoft Sans Serif"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Chief Deputy Coroner:  Ken Espinoza</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Microsoft Sans Serif" w:cs="Microsoft Sans Serif" w:hAnsi="Microsoft Sans Serif" w:eastAsia="Microsoft Sans Serif"/>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Microsoft Sans Serif" w:cs="Microsoft Sans Serif" w:hAnsi="Microsoft Sans Serif" w:eastAsia="Microsoft Sans Serif"/>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pPr>
      <w:r>
        <w:rPr>
          <w:rFonts w:ascii="Microsoft Sans Serif" w:cs="Arial Unicode MS" w:hAnsi="Microsoft Sans Serif"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Deputy Coroner (Full time):  Felicia McQueen</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Microsoft Sans Serif" w:cs="Microsoft Sans Serif" w:hAnsi="Microsoft Sans Serif" w:eastAsia="Microsoft Sans Serif"/>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Microsoft Sans Serif" w:cs="Microsoft Sans Serif" w:hAnsi="Microsoft Sans Serif" w:eastAsia="Microsoft Sans Serif"/>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pPr>
      <w:r>
        <w:rPr>
          <w:rFonts w:ascii="Microsoft Sans Serif" w:cs="Arial Unicode MS" w:hAnsi="Microsoft Sans Serif"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Deputy Coroner (Full time):  Troy Puga</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Microsoft Sans Serif" w:cs="Microsoft Sans Serif" w:hAnsi="Microsoft Sans Serif" w:eastAsia="Microsoft Sans Serif"/>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Microsoft Sans Serif" w:cs="Microsoft Sans Serif" w:hAnsi="Microsoft Sans Serif" w:eastAsia="Microsoft Sans Serif"/>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pPr>
      <w:r>
        <w:rPr>
          <w:rFonts w:ascii="Microsoft Sans Serif" w:cs="Arial Unicode MS" w:hAnsi="Microsoft Sans Serif"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Deputy Coroner (Full time):  Brian Cruz</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Microsoft Sans Serif" w:cs="Microsoft Sans Serif" w:hAnsi="Microsoft Sans Serif" w:eastAsia="Microsoft Sans Serif"/>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Microsoft Sans Serif" w:cs="Microsoft Sans Serif" w:hAnsi="Microsoft Sans Serif" w:eastAsia="Microsoft Sans Serif"/>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pPr>
      <w:r>
        <w:rPr>
          <w:rFonts w:ascii="Microsoft Sans Serif" w:cs="Arial Unicode MS" w:hAnsi="Microsoft Sans Serif"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Deputy Coroner (Part time):  Rob Hudgens</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Microsoft Sans Serif" w:cs="Microsoft Sans Serif" w:hAnsi="Microsoft Sans Serif" w:eastAsia="Microsoft Sans Serif"/>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Microsoft Sans Serif" w:cs="Microsoft Sans Serif" w:hAnsi="Microsoft Sans Serif" w:eastAsia="Microsoft Sans Serif"/>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pPr>
      <w:r>
        <w:rPr>
          <w:rFonts w:ascii="Microsoft Sans Serif" w:cs="Arial Unicode MS" w:hAnsi="Microsoft Sans Serif"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Deputy Coroner (Part time):  Jeff Capito</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Microsoft Sans Serif" w:cs="Microsoft Sans Serif" w:hAnsi="Microsoft Sans Serif" w:eastAsia="Microsoft Sans Serif"/>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Microsoft Sans Serif" w:cs="Microsoft Sans Serif" w:hAnsi="Microsoft Sans Serif" w:eastAsia="Microsoft Sans Serif"/>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pPr>
      <w:r>
        <w:rPr>
          <w:rFonts w:ascii="Microsoft Sans Serif" w:cs="Arial Unicode MS" w:hAnsi="Microsoft Sans Serif"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Deputy Coroner (Part time):  Mike Hood</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Microsoft Sans Serif" w:cs="Microsoft Sans Serif" w:hAnsi="Microsoft Sans Serif" w:eastAsia="Microsoft Sans Serif"/>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Microsoft Sans Serif" w:cs="Microsoft Sans Serif" w:hAnsi="Microsoft Sans Serif" w:eastAsia="Microsoft Sans Serif"/>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pPr>
      <w:r>
        <w:rPr>
          <w:rFonts w:ascii="Microsoft Sans Serif" w:cs="Arial Unicode MS" w:hAnsi="Microsoft Sans Serif"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Deputy Coroner (Part time):  Kari Novak</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Microsoft Sans Serif" w:cs="Microsoft Sans Serif" w:hAnsi="Microsoft Sans Serif" w:eastAsia="Microsoft Sans Serif"/>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pPr>
    </w:p>
    <w:p>
      <w:pPr>
        <w:pStyle w:val="Body"/>
        <w:bidi w:val="0"/>
        <w:spacing w:after="0" w:line="240" w:lineRule="auto"/>
        <w:ind w:left="0" w:right="0" w:firstLine="0"/>
        <w:jc w:val="left"/>
        <w:rPr>
          <w:rFonts w:ascii="Microsoft Sans Serif" w:cs="Microsoft Sans Serif" w:hAnsi="Microsoft Sans Serif" w:eastAsia="Microsoft Sans Serif"/>
          <w:u w:color="000000"/>
          <w:rtl w:val="0"/>
        </w:rPr>
      </w:pPr>
      <w:r>
        <w:rPr>
          <w:rFonts w:ascii="Microsoft Sans Serif" w:hAnsi="Microsoft Sans Serif"/>
          <w:u w:color="000000"/>
          <w:rtl w:val="0"/>
          <w:lang w:val="en-US"/>
        </w:rPr>
        <w:t>Administrative Assistant:  Natalie Jensen</w:t>
      </w:r>
    </w:p>
    <w:p>
      <w:pPr>
        <w:pStyle w:val="Heading"/>
        <w:pageBreakBefore w:val="1"/>
        <w:bidi w:val="0"/>
        <w:spacing w:before="480" w:after="120" w:line="240" w:lineRule="auto"/>
        <w:ind w:left="0" w:right="0" w:firstLine="0"/>
        <w:jc w:val="left"/>
        <w:rPr>
          <w:outline w:val="0"/>
          <w:color w:val="216cff"/>
          <w:spacing w:val="0"/>
          <w:sz w:val="48"/>
          <w:szCs w:val="48"/>
          <w:u w:color="000000"/>
          <w:rtl w:val="0"/>
          <w14:textFill>
            <w14:solidFill>
              <w14:srgbClr w14:val="226DFF"/>
            </w14:solidFill>
          </w14:textFill>
        </w:rPr>
      </w:pPr>
      <w:r>
        <w:rPr>
          <w:outline w:val="0"/>
          <w:color w:val="216cff"/>
          <w:spacing w:val="0"/>
          <w:sz w:val="48"/>
          <w:szCs w:val="48"/>
          <w:u w:color="000000"/>
          <w:rtl w:val="0"/>
          <w:lang w:val="en-US"/>
          <w14:textFill>
            <w14:solidFill>
              <w14:srgbClr w14:val="226DFF"/>
            </w14:solidFill>
          </w14:textFill>
        </w:rPr>
        <w:t>expenditures</w:t>
      </w:r>
    </w:p>
    <w:p>
      <w:pPr>
        <w:pStyle w:val="Body"/>
        <w:bidi w:val="0"/>
        <w:spacing w:after="0" w:line="360" w:lineRule="auto"/>
        <w:ind w:left="0" w:right="0" w:firstLine="0"/>
        <w:jc w:val="left"/>
        <w:rPr>
          <w:rFonts w:ascii="Microsoft Sans Serif" w:cs="Microsoft Sans Serif" w:hAnsi="Microsoft Sans Serif" w:eastAsia="Microsoft Sans Serif"/>
          <w:u w:color="000000"/>
          <w:rtl w:val="0"/>
        </w:rPr>
      </w:pPr>
    </w:p>
    <w:p>
      <w:pPr>
        <w:pStyle w:val="Body"/>
        <w:bidi w:val="0"/>
        <w:spacing w:after="0" w:line="360" w:lineRule="auto"/>
        <w:ind w:left="0" w:right="0" w:firstLine="0"/>
        <w:jc w:val="left"/>
        <w:rPr>
          <w:rFonts w:ascii="Microsoft Sans Serif" w:cs="Microsoft Sans Serif" w:hAnsi="Microsoft Sans Serif" w:eastAsia="Microsoft Sans Serif"/>
          <w:u w:color="000000"/>
          <w:rtl w:val="0"/>
        </w:rPr>
      </w:pPr>
    </w:p>
    <w:p>
      <w:pPr>
        <w:pStyle w:val="Body"/>
        <w:bidi w:val="0"/>
        <w:spacing w:after="0" w:line="360" w:lineRule="auto"/>
        <w:ind w:left="0" w:right="0" w:firstLine="0"/>
        <w:jc w:val="left"/>
        <w:rPr>
          <w:rFonts w:ascii="Microsoft Sans Serif" w:cs="Microsoft Sans Serif" w:hAnsi="Microsoft Sans Serif" w:eastAsia="Microsoft Sans Serif"/>
          <w:u w:color="000000"/>
          <w:rtl w:val="0"/>
        </w:rPr>
      </w:pPr>
      <w:r>
        <w:drawing xmlns:a="http://schemas.openxmlformats.org/drawingml/2006/main">
          <wp:inline distT="0" distB="0" distL="0" distR="0">
            <wp:extent cx="5478836" cy="5417984"/>
            <wp:effectExtent l="0" t="0" r="0" b="0"/>
            <wp:docPr id="1073741833" name="officeArt object"/>
            <wp:cNvGraphicFramePr/>
            <a:graphic xmlns:a="http://schemas.openxmlformats.org/drawingml/2006/main">
              <a:graphicData uri="http://schemas.openxmlformats.org/drawingml/2006/chart">
                <c:chart xmlns:c="http://schemas.openxmlformats.org/drawingml/2006/chart" r:id="rId10"/>
              </a:graphicData>
            </a:graphic>
          </wp:inline>
        </w:drawing>
      </w:r>
    </w:p>
    <w:p>
      <w:pPr>
        <w:pStyle w:val="Body"/>
        <w:bidi w:val="0"/>
        <w:spacing w:after="0" w:line="360" w:lineRule="auto"/>
        <w:ind w:left="0" w:right="0" w:firstLine="0"/>
        <w:jc w:val="left"/>
        <w:rPr>
          <w:rFonts w:ascii="Microsoft Sans Serif" w:cs="Microsoft Sans Serif" w:hAnsi="Microsoft Sans Serif" w:eastAsia="Microsoft Sans Serif"/>
          <w:sz w:val="28"/>
          <w:szCs w:val="28"/>
          <w:u w:color="000000"/>
          <w:rtl w:val="0"/>
        </w:rPr>
      </w:pPr>
    </w:p>
    <w:p>
      <w:pPr>
        <w:pStyle w:val="Body"/>
        <w:bidi w:val="0"/>
        <w:spacing w:after="0" w:line="360" w:lineRule="auto"/>
        <w:ind w:left="0" w:right="0" w:firstLine="0"/>
        <w:jc w:val="left"/>
        <w:rPr>
          <w:rFonts w:ascii="Microsoft Sans Serif" w:cs="Microsoft Sans Serif" w:hAnsi="Microsoft Sans Serif" w:eastAsia="Microsoft Sans Serif"/>
          <w:sz w:val="28"/>
          <w:szCs w:val="28"/>
          <w:u w:color="000000"/>
          <w:rtl w:val="0"/>
        </w:rPr>
      </w:pPr>
      <w:r>
        <w:rPr>
          <w:rFonts w:ascii="Microsoft Sans Serif" w:hAnsi="Microsoft Sans Serif"/>
          <w:sz w:val="28"/>
          <w:szCs w:val="28"/>
          <w:u w:color="000000"/>
          <w:rtl w:val="0"/>
          <w:lang w:val="en-US"/>
        </w:rPr>
        <w:t>The total 2021 expenditures for the Pueblo County Coroner</w:t>
      </w:r>
      <w:r>
        <w:rPr>
          <w:rFonts w:ascii="Microsoft Sans Serif" w:hAnsi="Microsoft Sans Serif" w:hint="default"/>
          <w:sz w:val="28"/>
          <w:szCs w:val="28"/>
          <w:u w:color="000000"/>
          <w:rtl w:val="0"/>
          <w:lang w:val="en-US"/>
        </w:rPr>
        <w:t>’</w:t>
      </w:r>
      <w:r>
        <w:rPr>
          <w:rFonts w:ascii="Microsoft Sans Serif" w:hAnsi="Microsoft Sans Serif"/>
          <w:sz w:val="28"/>
          <w:szCs w:val="28"/>
          <w:u w:color="000000"/>
          <w:rtl w:val="0"/>
          <w:lang w:val="en-US"/>
        </w:rPr>
        <w:t xml:space="preserve">s Office was $972,157.00.  Of this, 48% was personnel expenses, 43% was for autopsies and related expenses, and 9% was general operating expenses.  These expenses included an increase in cases of 206 over 2020.  There was an increase in personnel in 2021 due to the approval of two additional full time investigators and increased number of deaths related to COVID 19, but a decrease in operating cases due to our staff and equipment being utilized.   </w:t>
      </w:r>
    </w:p>
    <w:p>
      <w:pPr>
        <w:pStyle w:val="Heading"/>
        <w:pageBreakBefore w:val="1"/>
        <w:bidi w:val="0"/>
        <w:spacing w:before="480" w:after="120" w:line="240" w:lineRule="auto"/>
        <w:ind w:left="0" w:right="0" w:firstLine="0"/>
        <w:jc w:val="left"/>
        <w:rPr>
          <w:rFonts w:ascii="Century Gothic" w:cs="Century Gothic" w:hAnsi="Century Gothic" w:eastAsia="Century Gothic"/>
          <w:outline w:val="0"/>
          <w:color w:val="000000"/>
          <w:spacing w:val="0"/>
          <w:sz w:val="48"/>
          <w:szCs w:val="48"/>
          <w:u w:color="000000"/>
          <w:rtl w:val="0"/>
          <w14:textFill>
            <w14:solidFill>
              <w14:srgbClr w14:val="000000"/>
            </w14:solidFill>
          </w14:textFill>
        </w:rPr>
      </w:pPr>
      <w:r>
        <w:rPr>
          <w:rFonts w:ascii="Graphik" w:hAnsi="Graphik"/>
          <w:outline w:val="0"/>
          <w:color w:val="216cff"/>
          <w:spacing w:val="0"/>
          <w:sz w:val="48"/>
          <w:szCs w:val="48"/>
          <w:u w:color="000000"/>
          <w:rtl w:val="0"/>
          <w14:textFill>
            <w14:solidFill>
              <w14:srgbClr w14:val="226DFF"/>
            </w14:solidFill>
          </w14:textFill>
        </w:rPr>
        <w:t>Des</w:t>
      </w:r>
      <w:r>
        <w:rPr>
          <w:rFonts w:ascii="Graphik" w:hAnsi="Graphik"/>
          <w:outline w:val="0"/>
          <w:color w:val="216cff"/>
          <w:spacing w:val="0"/>
          <w:sz w:val="48"/>
          <w:szCs w:val="48"/>
          <w:u w:color="000000"/>
          <w:rtl w:val="0"/>
          <w:lang w:val="en-US"/>
          <w14:textFill>
            <w14:solidFill>
              <w14:srgbClr w14:val="226DFF"/>
            </w14:solidFill>
          </w14:textFill>
        </w:rPr>
        <w:t>C</w:t>
      </w:r>
      <w:r>
        <w:rPr>
          <w:rFonts w:ascii="Graphik" w:hAnsi="Graphik"/>
          <w:outline w:val="0"/>
          <w:color w:val="216cff"/>
          <w:spacing w:val="0"/>
          <w:sz w:val="48"/>
          <w:szCs w:val="48"/>
          <w:u w:color="000000"/>
          <w:rtl w:val="0"/>
          <w:lang w:val="en-US"/>
          <w14:textFill>
            <w14:solidFill>
              <w14:srgbClr w14:val="226DFF"/>
            </w14:solidFill>
          </w14:textFill>
        </w:rPr>
        <w:t>ription of reportable cases</w:t>
      </w:r>
      <w:r>
        <w:rPr>
          <w:rFonts w:ascii="Century Gothic" w:hAnsi="Century Gothic"/>
          <w:outline w:val="0"/>
          <w:color w:val="000000"/>
          <w:spacing w:val="0"/>
          <w:sz w:val="48"/>
          <w:szCs w:val="48"/>
          <w:u w:color="000000"/>
          <w:rtl w:val="0"/>
          <w14:textFill>
            <w14:solidFill>
              <w14:srgbClr w14:val="000000"/>
            </w14:solidFill>
          </w14:textFill>
        </w:rPr>
        <w:t xml:space="preserve"> </w:t>
      </w:r>
    </w:p>
    <w:p>
      <w:pPr>
        <w:pStyle w:val="Body"/>
        <w:bidi w:val="0"/>
        <w:spacing w:after="0" w:line="360" w:lineRule="auto"/>
        <w:ind w:left="0" w:right="0" w:firstLine="0"/>
        <w:jc w:val="left"/>
        <w:rPr>
          <w:rFonts w:ascii="Microsoft Sans Serif" w:cs="Microsoft Sans Serif" w:hAnsi="Microsoft Sans Serif" w:eastAsia="Microsoft Sans Serif"/>
          <w:u w:color="000000"/>
          <w:rtl w:val="0"/>
        </w:rPr>
      </w:pPr>
    </w:p>
    <w:p>
      <w:pPr>
        <w:pStyle w:val="Body"/>
        <w:bidi w:val="0"/>
        <w:spacing w:after="0" w:line="360" w:lineRule="auto"/>
        <w:ind w:left="0" w:right="0" w:firstLine="0"/>
        <w:jc w:val="left"/>
        <w:rPr>
          <w:rFonts w:ascii="Microsoft Sans Serif" w:cs="Microsoft Sans Serif" w:hAnsi="Microsoft Sans Serif" w:eastAsia="Microsoft Sans Serif"/>
          <w:u w:color="000000"/>
          <w:rtl w:val="0"/>
        </w:rPr>
      </w:pPr>
    </w:p>
    <w:p>
      <w:pPr>
        <w:pStyle w:val="Body"/>
        <w:bidi w:val="0"/>
        <w:spacing w:after="0" w:line="360" w:lineRule="auto"/>
        <w:ind w:left="0" w:right="0" w:firstLine="0"/>
        <w:jc w:val="left"/>
        <w:rPr>
          <w:rFonts w:ascii="Microsoft Sans Serif" w:cs="Microsoft Sans Serif" w:hAnsi="Microsoft Sans Serif" w:eastAsia="Microsoft Sans Serif"/>
          <w:u w:color="000000"/>
          <w:rtl w:val="0"/>
        </w:rPr>
      </w:pPr>
      <w:r>
        <w:rPr>
          <w:rFonts w:ascii="Microsoft Sans Serif" w:hAnsi="Microsoft Sans Serif"/>
          <w:u w:color="000000"/>
          <w:rtl w:val="0"/>
          <w:lang w:val="en-US"/>
        </w:rPr>
        <w:t>In accordance with Colorado Revised Statue 30-10-606, the following deaths are required to be reported to the Pueblo County Coroner</w:t>
      </w:r>
      <w:r>
        <w:rPr>
          <w:rFonts w:ascii="Microsoft Sans Serif" w:hAnsi="Microsoft Sans Serif" w:hint="default"/>
          <w:u w:color="000000"/>
          <w:rtl w:val="1"/>
        </w:rPr>
        <w:t>’</w:t>
      </w:r>
      <w:r>
        <w:rPr>
          <w:rFonts w:ascii="Microsoft Sans Serif" w:hAnsi="Microsoft Sans Serif"/>
          <w:u w:color="000000"/>
          <w:rtl w:val="0"/>
          <w:lang w:val="en-US"/>
        </w:rPr>
        <w:t>s Office:</w:t>
      </w:r>
    </w:p>
    <w:p>
      <w:pPr>
        <w:pStyle w:val="Body"/>
        <w:bidi w:val="0"/>
        <w:spacing w:after="0" w:line="360" w:lineRule="auto"/>
        <w:ind w:left="0" w:right="0" w:firstLine="0"/>
        <w:jc w:val="left"/>
        <w:rPr>
          <w:rFonts w:ascii="Microsoft Sans Serif" w:cs="Microsoft Sans Serif" w:hAnsi="Microsoft Sans Serif" w:eastAsia="Microsoft Sans Serif"/>
          <w:u w:color="000000"/>
          <w:rtl w:val="0"/>
        </w:rPr>
      </w:pPr>
    </w:p>
    <w:p>
      <w:pPr>
        <w:pStyle w:val="Default"/>
        <w:numPr>
          <w:ilvl w:val="1"/>
          <w:numId w:val="4"/>
        </w:numPr>
        <w:spacing w:line="360" w:lineRule="auto"/>
        <w:jc w:val="left"/>
        <w:rPr>
          <w:rFonts w:ascii="Microsoft Sans Serif" w:hAnsi="Microsoft Sans Serif"/>
          <w:sz w:val="24"/>
          <w:szCs w:val="24"/>
          <w:u w:color="000000"/>
          <w:lang w:val="en-US"/>
        </w:rPr>
      </w:pPr>
      <w:r>
        <w:rPr>
          <w:rFonts w:ascii="Microsoft Sans Serif" w:hAnsi="Microsoft Sans Serif"/>
          <w:sz w:val="24"/>
          <w:szCs w:val="24"/>
          <w:u w:color="000000"/>
          <w:rtl w:val="0"/>
          <w:lang w:val="en-US"/>
        </w:rPr>
        <w:t>Death is or may be unnatural as a result of external influence, violence or injury;</w:t>
      </w:r>
    </w:p>
    <w:p>
      <w:pPr>
        <w:pStyle w:val="Default"/>
        <w:numPr>
          <w:ilvl w:val="1"/>
          <w:numId w:val="4"/>
        </w:numPr>
        <w:spacing w:line="360" w:lineRule="auto"/>
        <w:jc w:val="left"/>
        <w:rPr>
          <w:rFonts w:ascii="Microsoft Sans Serif" w:hAnsi="Microsoft Sans Serif"/>
          <w:sz w:val="24"/>
          <w:szCs w:val="24"/>
          <w:u w:color="000000"/>
          <w:lang w:val="en-US"/>
        </w:rPr>
      </w:pPr>
      <w:r>
        <w:rPr>
          <w:rFonts w:ascii="Microsoft Sans Serif" w:hAnsi="Microsoft Sans Serif"/>
          <w:sz w:val="24"/>
          <w:szCs w:val="24"/>
          <w:u w:color="000000"/>
          <w:rtl w:val="0"/>
          <w:lang w:val="en-US"/>
        </w:rPr>
        <w:t>Death is due to the influence of or the result of intoxication by alcohol, drugs or poison;</w:t>
      </w:r>
    </w:p>
    <w:p>
      <w:pPr>
        <w:pStyle w:val="Default"/>
        <w:numPr>
          <w:ilvl w:val="1"/>
          <w:numId w:val="4"/>
        </w:numPr>
        <w:spacing w:line="360" w:lineRule="auto"/>
        <w:jc w:val="left"/>
        <w:rPr>
          <w:rFonts w:ascii="Microsoft Sans Serif" w:hAnsi="Microsoft Sans Serif"/>
          <w:sz w:val="24"/>
          <w:szCs w:val="24"/>
          <w:u w:color="000000"/>
          <w:lang w:val="en-US"/>
        </w:rPr>
      </w:pPr>
      <w:r>
        <w:rPr>
          <w:rFonts w:ascii="Microsoft Sans Serif" w:hAnsi="Microsoft Sans Serif"/>
          <w:sz w:val="24"/>
          <w:szCs w:val="24"/>
          <w:u w:color="000000"/>
          <w:rtl w:val="0"/>
          <w:lang w:val="en-US"/>
        </w:rPr>
        <w:t>Death as a result of an accident, including those occurring at the workplace;</w:t>
      </w:r>
    </w:p>
    <w:p>
      <w:pPr>
        <w:pStyle w:val="Default"/>
        <w:numPr>
          <w:ilvl w:val="1"/>
          <w:numId w:val="4"/>
        </w:numPr>
        <w:spacing w:line="360" w:lineRule="auto"/>
        <w:jc w:val="left"/>
        <w:rPr>
          <w:rFonts w:ascii="Microsoft Sans Serif" w:hAnsi="Microsoft Sans Serif"/>
          <w:sz w:val="24"/>
          <w:szCs w:val="24"/>
          <w:u w:color="000000"/>
          <w:lang w:val="en-US"/>
        </w:rPr>
      </w:pPr>
      <w:r>
        <w:rPr>
          <w:rFonts w:ascii="Microsoft Sans Serif" w:hAnsi="Microsoft Sans Serif"/>
          <w:sz w:val="24"/>
          <w:szCs w:val="24"/>
          <w:u w:color="000000"/>
          <w:rtl w:val="0"/>
          <w:lang w:val="en-US"/>
        </w:rPr>
        <w:t>Death of an infant o</w:t>
      </w:r>
      <w:r>
        <w:rPr>
          <w:rFonts w:ascii="Microsoft Sans Serif" w:hAnsi="Microsoft Sans Serif"/>
          <w:sz w:val="24"/>
          <w:szCs w:val="24"/>
          <w:u w:color="000000"/>
          <w:rtl w:val="0"/>
          <w:lang w:val="en-US"/>
        </w:rPr>
        <w:t>r</w:t>
      </w:r>
      <w:r>
        <w:rPr>
          <w:rFonts w:ascii="Microsoft Sans Serif" w:hAnsi="Microsoft Sans Serif"/>
          <w:sz w:val="24"/>
          <w:szCs w:val="24"/>
          <w:u w:color="000000"/>
          <w:rtl w:val="0"/>
          <w:lang w:val="en-US"/>
        </w:rPr>
        <w:t xml:space="preserve"> child is unexpected or unexplained;</w:t>
      </w:r>
    </w:p>
    <w:p>
      <w:pPr>
        <w:pStyle w:val="Default"/>
        <w:numPr>
          <w:ilvl w:val="1"/>
          <w:numId w:val="4"/>
        </w:numPr>
        <w:spacing w:line="360" w:lineRule="auto"/>
        <w:jc w:val="left"/>
        <w:rPr>
          <w:rFonts w:ascii="Microsoft Sans Serif" w:hAnsi="Microsoft Sans Serif"/>
          <w:sz w:val="24"/>
          <w:szCs w:val="24"/>
          <w:u w:color="000000"/>
          <w:lang w:val="en-US"/>
        </w:rPr>
      </w:pPr>
      <w:r>
        <w:rPr>
          <w:rFonts w:ascii="Microsoft Sans Serif" w:hAnsi="Microsoft Sans Serif"/>
          <w:sz w:val="24"/>
          <w:szCs w:val="24"/>
          <w:u w:color="000000"/>
          <w:rtl w:val="0"/>
          <w:lang w:val="en-US"/>
        </w:rPr>
        <w:t>Death where no physician in attendance or when, though in attendance, the physician I unable to certify the cause of death;</w:t>
      </w:r>
    </w:p>
    <w:p>
      <w:pPr>
        <w:pStyle w:val="Default"/>
        <w:numPr>
          <w:ilvl w:val="1"/>
          <w:numId w:val="4"/>
        </w:numPr>
        <w:spacing w:line="360" w:lineRule="auto"/>
        <w:jc w:val="left"/>
        <w:rPr>
          <w:rFonts w:ascii="Microsoft Sans Serif" w:hAnsi="Microsoft Sans Serif"/>
          <w:sz w:val="24"/>
          <w:szCs w:val="24"/>
          <w:u w:color="000000"/>
          <w:lang w:val="en-US"/>
        </w:rPr>
      </w:pPr>
      <w:r>
        <w:rPr>
          <w:rFonts w:ascii="Microsoft Sans Serif" w:hAnsi="Microsoft Sans Serif"/>
          <w:sz w:val="24"/>
          <w:szCs w:val="24"/>
          <w:u w:color="000000"/>
          <w:rtl w:val="0"/>
          <w:lang w:val="en-US"/>
        </w:rPr>
        <w:t>Death that occurs within twenty-four hours of admission to a hospital;</w:t>
      </w:r>
    </w:p>
    <w:p>
      <w:pPr>
        <w:pStyle w:val="Default"/>
        <w:numPr>
          <w:ilvl w:val="1"/>
          <w:numId w:val="4"/>
        </w:numPr>
        <w:spacing w:line="360" w:lineRule="auto"/>
        <w:jc w:val="left"/>
        <w:rPr>
          <w:rFonts w:ascii="Microsoft Sans Serif" w:hAnsi="Microsoft Sans Serif"/>
          <w:sz w:val="24"/>
          <w:szCs w:val="24"/>
          <w:u w:color="000000"/>
          <w:lang w:val="en-US"/>
        </w:rPr>
      </w:pPr>
      <w:r>
        <w:rPr>
          <w:rFonts w:ascii="Microsoft Sans Serif" w:hAnsi="Microsoft Sans Serif"/>
          <w:sz w:val="24"/>
          <w:szCs w:val="24"/>
          <w:u w:color="000000"/>
          <w:rtl w:val="0"/>
          <w:lang w:val="en-US"/>
        </w:rPr>
        <w:t>Death that occurs within forty-eight hours of a surgical invasive procedure;</w:t>
      </w:r>
    </w:p>
    <w:p>
      <w:pPr>
        <w:pStyle w:val="Default"/>
        <w:numPr>
          <w:ilvl w:val="1"/>
          <w:numId w:val="4"/>
        </w:numPr>
        <w:spacing w:line="360" w:lineRule="auto"/>
        <w:jc w:val="left"/>
        <w:rPr>
          <w:rFonts w:ascii="Microsoft Sans Serif" w:hAnsi="Microsoft Sans Serif"/>
          <w:sz w:val="24"/>
          <w:szCs w:val="24"/>
          <w:u w:color="000000"/>
          <w:lang w:val="en-US"/>
        </w:rPr>
      </w:pPr>
      <w:r>
        <w:rPr>
          <w:rFonts w:ascii="Microsoft Sans Serif" w:hAnsi="Microsoft Sans Serif"/>
          <w:sz w:val="24"/>
          <w:szCs w:val="24"/>
          <w:u w:color="000000"/>
          <w:rtl w:val="0"/>
          <w:lang w:val="en-US"/>
        </w:rPr>
        <w:t>Death from a disease which may be hazardous or contagious or which may constitute</w:t>
      </w:r>
      <w:r>
        <w:rPr>
          <w:rFonts w:ascii="Microsoft Sans Serif" w:hAnsi="Microsoft Sans Serif"/>
          <w:sz w:val="24"/>
          <w:szCs w:val="24"/>
          <w:u w:color="000000"/>
          <w:rtl w:val="0"/>
          <w:lang w:val="en-US"/>
        </w:rPr>
        <w:t xml:space="preserve"> </w:t>
      </w:r>
      <w:r>
        <w:rPr>
          <w:rFonts w:ascii="Microsoft Sans Serif" w:hAnsi="Microsoft Sans Serif"/>
          <w:sz w:val="24"/>
          <w:szCs w:val="24"/>
          <w:u w:color="000000"/>
          <w:rtl w:val="0"/>
          <w:lang w:val="en-US"/>
        </w:rPr>
        <w:t>a threat to the health of the general public;</w:t>
      </w:r>
    </w:p>
    <w:p>
      <w:pPr>
        <w:pStyle w:val="Default"/>
        <w:numPr>
          <w:ilvl w:val="1"/>
          <w:numId w:val="4"/>
        </w:numPr>
        <w:spacing w:line="360" w:lineRule="auto"/>
        <w:jc w:val="left"/>
        <w:rPr>
          <w:rFonts w:ascii="Microsoft Sans Serif" w:hAnsi="Microsoft Sans Serif"/>
          <w:sz w:val="24"/>
          <w:szCs w:val="24"/>
          <w:u w:color="000000"/>
          <w:lang w:val="en-US"/>
        </w:rPr>
      </w:pPr>
      <w:r>
        <w:rPr>
          <w:rFonts w:ascii="Microsoft Sans Serif" w:hAnsi="Microsoft Sans Serif"/>
          <w:sz w:val="24"/>
          <w:szCs w:val="24"/>
          <w:u w:color="000000"/>
          <w:rtl w:val="0"/>
          <w:lang w:val="en-US"/>
        </w:rPr>
        <w:t>Death occurs from the action of a peace officer or while in custody of law enforcement</w:t>
      </w:r>
      <w:r>
        <w:rPr>
          <w:rFonts w:ascii="Microsoft Sans Serif" w:hAnsi="Microsoft Sans Serif"/>
          <w:sz w:val="24"/>
          <w:szCs w:val="24"/>
          <w:u w:color="000000"/>
          <w:rtl w:val="0"/>
          <w:lang w:val="en-US"/>
        </w:rPr>
        <w:t xml:space="preserve"> </w:t>
      </w:r>
      <w:r>
        <w:rPr>
          <w:rFonts w:ascii="Microsoft Sans Serif" w:hAnsi="Microsoft Sans Serif"/>
          <w:sz w:val="24"/>
          <w:szCs w:val="24"/>
          <w:u w:color="000000"/>
          <w:rtl w:val="0"/>
          <w:lang w:val="en-US"/>
        </w:rPr>
        <w:t>officials or while incarcerated in a public institution.</w:t>
      </w:r>
    </w:p>
    <w:p>
      <w:pPr>
        <w:pStyle w:val="Default"/>
        <w:numPr>
          <w:ilvl w:val="1"/>
          <w:numId w:val="4"/>
        </w:numPr>
        <w:spacing w:line="360" w:lineRule="auto"/>
        <w:jc w:val="left"/>
        <w:rPr>
          <w:rFonts w:ascii="Microsoft Sans Serif" w:hAnsi="Microsoft Sans Serif"/>
          <w:sz w:val="24"/>
          <w:szCs w:val="24"/>
          <w:u w:color="000000"/>
          <w:lang w:val="en-US"/>
        </w:rPr>
      </w:pPr>
      <w:r>
        <w:rPr>
          <w:rFonts w:ascii="Microsoft Sans Serif" w:hAnsi="Microsoft Sans Serif"/>
          <w:sz w:val="24"/>
          <w:szCs w:val="24"/>
          <w:u w:color="000000"/>
          <w:rtl w:val="0"/>
          <w:lang w:val="en-US"/>
        </w:rPr>
        <w:t>Death was sudden and happened to a person who was in apparent good health;</w:t>
      </w:r>
    </w:p>
    <w:p>
      <w:pPr>
        <w:pStyle w:val="Default"/>
        <w:numPr>
          <w:ilvl w:val="1"/>
          <w:numId w:val="4"/>
        </w:numPr>
        <w:spacing w:line="360" w:lineRule="auto"/>
        <w:jc w:val="left"/>
        <w:rPr>
          <w:rFonts w:ascii="Microsoft Sans Serif" w:hAnsi="Microsoft Sans Serif"/>
          <w:sz w:val="24"/>
          <w:szCs w:val="24"/>
          <w:u w:color="000000"/>
          <w:lang w:val="en-US"/>
        </w:rPr>
      </w:pPr>
      <w:r>
        <w:rPr>
          <w:rFonts w:ascii="Microsoft Sans Serif" w:hAnsi="Microsoft Sans Serif"/>
          <w:sz w:val="24"/>
          <w:szCs w:val="24"/>
          <w:u w:color="000000"/>
          <w:rtl w:val="0"/>
          <w:lang w:val="en-US"/>
        </w:rPr>
        <w:t>When a body is unidentifiable, decomposed, charred, or skeletonized;</w:t>
      </w:r>
    </w:p>
    <w:p>
      <w:pPr>
        <w:pStyle w:val="Default"/>
        <w:numPr>
          <w:ilvl w:val="1"/>
          <w:numId w:val="4"/>
        </w:numPr>
        <w:spacing w:line="360" w:lineRule="auto"/>
        <w:jc w:val="left"/>
        <w:rPr>
          <w:rFonts w:ascii="Microsoft Sans Serif" w:hAnsi="Microsoft Sans Serif"/>
          <w:sz w:val="24"/>
          <w:szCs w:val="24"/>
          <w:u w:color="000000"/>
          <w:lang w:val="en-US"/>
        </w:rPr>
      </w:pPr>
      <w:r>
        <w:rPr>
          <w:rFonts w:ascii="Microsoft Sans Serif" w:hAnsi="Microsoft Sans Serif"/>
          <w:sz w:val="24"/>
          <w:szCs w:val="24"/>
          <w:u w:color="000000"/>
          <w:rtl w:val="0"/>
          <w:lang w:val="en-US"/>
        </w:rPr>
        <w:t>Circumstances that the coroner otherwise determines may warrant further inquiry</w:t>
      </w:r>
      <w:r>
        <w:rPr>
          <w:rFonts w:ascii="Microsoft Sans Serif" w:hAnsi="Microsoft Sans Serif"/>
          <w:sz w:val="24"/>
          <w:szCs w:val="24"/>
          <w:u w:color="000000"/>
          <w:rtl w:val="0"/>
          <w:lang w:val="en-US"/>
        </w:rPr>
        <w:t xml:space="preserve"> </w:t>
      </w:r>
      <w:r>
        <w:rPr>
          <w:rFonts w:ascii="Microsoft Sans Serif" w:hAnsi="Microsoft Sans Serif"/>
          <w:sz w:val="24"/>
          <w:szCs w:val="24"/>
          <w:u w:color="000000"/>
          <w:rtl w:val="0"/>
          <w:lang w:val="en-US"/>
        </w:rPr>
        <w:t>to determine cause and manner of death or further law enforcement</w:t>
      </w:r>
      <w:r>
        <w:rPr>
          <w:rFonts w:ascii="Microsoft Sans Serif" w:hAnsi="Microsoft Sans Serif"/>
          <w:sz w:val="24"/>
          <w:szCs w:val="24"/>
          <w:u w:color="000000"/>
          <w:rtl w:val="0"/>
          <w:lang w:val="en-US"/>
        </w:rPr>
        <w:t xml:space="preserve"> </w:t>
      </w:r>
      <w:r>
        <w:rPr>
          <w:rFonts w:ascii="Microsoft Sans Serif" w:hAnsi="Microsoft Sans Serif"/>
          <w:sz w:val="24"/>
          <w:szCs w:val="24"/>
          <w:u w:color="000000"/>
          <w:rtl w:val="0"/>
          <w:lang w:val="en-US"/>
        </w:rPr>
        <w:t>investigation.</w:t>
      </w:r>
    </w:p>
    <w:p>
      <w:pPr>
        <w:pStyle w:val="Body"/>
        <w:bidi w:val="0"/>
        <w:spacing w:after="0" w:line="360" w:lineRule="auto"/>
        <w:ind w:left="0" w:right="0" w:firstLine="0"/>
        <w:jc w:val="left"/>
        <w:rPr>
          <w:rFonts w:ascii="Microsoft Sans Serif" w:cs="Microsoft Sans Serif" w:hAnsi="Microsoft Sans Serif" w:eastAsia="Microsoft Sans Serif"/>
          <w:u w:color="000000"/>
          <w:rtl w:val="0"/>
        </w:rPr>
      </w:pPr>
    </w:p>
    <w:p>
      <w:pPr>
        <w:pStyle w:val="Body"/>
        <w:bidi w:val="0"/>
        <w:spacing w:after="0" w:line="360" w:lineRule="auto"/>
        <w:ind w:left="0" w:right="0" w:firstLine="0"/>
        <w:jc w:val="left"/>
        <w:rPr>
          <w:rFonts w:ascii="Microsoft Sans Serif" w:cs="Microsoft Sans Serif" w:hAnsi="Microsoft Sans Serif" w:eastAsia="Microsoft Sans Serif"/>
          <w:u w:color="000000"/>
          <w:rtl w:val="0"/>
        </w:rPr>
      </w:pPr>
    </w:p>
    <w:p>
      <w:pPr>
        <w:pStyle w:val="Body"/>
        <w:bidi w:val="0"/>
        <w:spacing w:after="0" w:line="360" w:lineRule="auto"/>
        <w:ind w:left="0" w:right="0" w:firstLine="0"/>
        <w:jc w:val="left"/>
        <w:rPr>
          <w:rtl w:val="0"/>
        </w:rPr>
      </w:pPr>
      <w:r>
        <w:rPr>
          <w:rFonts w:ascii="Microsoft Sans Serif" w:hAnsi="Microsoft Sans Serif"/>
          <w:u w:color="000000"/>
          <w:rtl w:val="0"/>
          <w:lang w:val="en-US"/>
        </w:rPr>
        <w:t xml:space="preserve">It should be noted that even though a death is </w:t>
      </w:r>
      <w:r>
        <w:rPr>
          <w:rFonts w:ascii="Microsoft Sans Serif" w:hAnsi="Microsoft Sans Serif" w:hint="default"/>
          <w:u w:color="000000"/>
          <w:rtl w:val="1"/>
          <w:lang w:val="ar-SA" w:bidi="ar-SA"/>
        </w:rPr>
        <w:t>“</w:t>
      </w:r>
      <w:r>
        <w:rPr>
          <w:rFonts w:ascii="Microsoft Sans Serif" w:hAnsi="Microsoft Sans Serif"/>
          <w:u w:color="000000"/>
          <w:rtl w:val="0"/>
          <w:lang w:val="en-US"/>
        </w:rPr>
        <w:t>reportable</w:t>
      </w:r>
      <w:r>
        <w:rPr>
          <w:rFonts w:ascii="Microsoft Sans Serif" w:hAnsi="Microsoft Sans Serif" w:hint="default"/>
          <w:u w:color="000000"/>
          <w:rtl w:val="0"/>
        </w:rPr>
        <w:t xml:space="preserve">” </w:t>
      </w:r>
      <w:r>
        <w:rPr>
          <w:rFonts w:ascii="Microsoft Sans Serif" w:hAnsi="Microsoft Sans Serif"/>
          <w:u w:color="000000"/>
          <w:rtl w:val="0"/>
          <w:lang w:val="en-US"/>
        </w:rPr>
        <w:t>under these guidelines, an autopsy may be unnecessary depending upon the circumstances.</w:t>
      </w:r>
      <w:r>
        <w:rPr>
          <w:rFonts w:ascii="Arial Unicode MS" w:cs="Arial Unicode MS" w:hAnsi="Arial Unicode MS" w:eastAsia="Arial Unicode MS"/>
          <w:b w:val="0"/>
          <w:bCs w:val="0"/>
          <w:i w:val="0"/>
          <w:iCs w:val="0"/>
          <w:u w:color="000000"/>
          <w:rtl w:val="0"/>
        </w:rPr>
        <w:br w:type="page"/>
      </w:r>
    </w:p>
    <w:p>
      <w:pPr>
        <w:pStyle w:val="Heading"/>
        <w:pageBreakBefore w:val="1"/>
        <w:bidi w:val="0"/>
        <w:spacing w:before="480" w:after="120" w:line="240" w:lineRule="auto"/>
        <w:ind w:left="0" w:right="0" w:firstLine="0"/>
        <w:jc w:val="left"/>
        <w:rPr>
          <w:outline w:val="0"/>
          <w:color w:val="216cff"/>
          <w:spacing w:val="0"/>
          <w:sz w:val="48"/>
          <w:szCs w:val="48"/>
          <w:u w:color="000000"/>
          <w:rtl w:val="0"/>
          <w14:textFill>
            <w14:solidFill>
              <w14:srgbClr w14:val="226DFF"/>
            </w14:solidFill>
          </w14:textFill>
        </w:rPr>
      </w:pPr>
      <w:bookmarkStart w:name="_Hlk67406577" w:id="1"/>
      <w:r>
        <w:rPr>
          <w:outline w:val="0"/>
          <w:color w:val="216cff"/>
          <w:spacing w:val="0"/>
          <w:sz w:val="48"/>
          <w:szCs w:val="48"/>
          <w:u w:color="000000"/>
          <w:rtl w:val="0"/>
          <w:lang w:val="en-US"/>
          <w14:textFill>
            <w14:solidFill>
              <w14:srgbClr w14:val="226DFF"/>
            </w14:solidFill>
          </w14:textFill>
        </w:rPr>
        <w:t>yearly trends</w:t>
      </w:r>
      <w:bookmarkEnd w:id="1"/>
    </w:p>
    <w:p>
      <w:pPr>
        <w:pStyle w:val="Body"/>
        <w:bidi w:val="0"/>
        <w:spacing w:after="0" w:line="360" w:lineRule="auto"/>
        <w:ind w:left="0" w:right="0" w:firstLine="0"/>
        <w:jc w:val="left"/>
        <w:rPr>
          <w:rFonts w:ascii="Microsoft Sans Serif" w:cs="Microsoft Sans Serif" w:hAnsi="Microsoft Sans Serif" w:eastAsia="Microsoft Sans Serif"/>
          <w:u w:color="000000"/>
          <w:rtl w:val="0"/>
        </w:rPr>
      </w:pPr>
    </w:p>
    <w:p>
      <w:pPr>
        <w:pStyle w:val="Body"/>
        <w:bidi w:val="0"/>
        <w:spacing w:after="180" w:line="336" w:lineRule="auto"/>
        <w:ind w:left="0" w:right="0" w:firstLine="0"/>
        <w:jc w:val="left"/>
        <w:rPr>
          <w:rFonts w:ascii="Microsoft Sans Serif" w:cs="Microsoft Sans Serif" w:hAnsi="Microsoft Sans Serif" w:eastAsia="Microsoft Sans Serif"/>
          <w:u w:color="000000"/>
          <w:rtl w:val="0"/>
        </w:rPr>
      </w:pPr>
    </w:p>
    <w:p>
      <w:pPr>
        <w:pStyle w:val="Body"/>
        <w:bidi w:val="0"/>
        <w:spacing w:after="180" w:line="336" w:lineRule="auto"/>
        <w:ind w:left="0" w:right="0" w:firstLine="0"/>
        <w:jc w:val="left"/>
        <w:rPr>
          <w:rFonts w:ascii="Microsoft Sans Serif" w:cs="Microsoft Sans Serif" w:hAnsi="Microsoft Sans Serif" w:eastAsia="Microsoft Sans Serif"/>
          <w:u w:color="000000"/>
          <w:rtl w:val="0"/>
        </w:rPr>
      </w:pPr>
      <w:r>
        <w:drawing xmlns:a="http://schemas.openxmlformats.org/drawingml/2006/main">
          <wp:inline distT="0" distB="0" distL="0" distR="0">
            <wp:extent cx="6668447" cy="4652550"/>
            <wp:effectExtent l="0" t="0" r="0" b="0"/>
            <wp:docPr id="1073741834" name="officeArt object"/>
            <wp:cNvGraphicFramePr/>
            <a:graphic xmlns:a="http://schemas.openxmlformats.org/drawingml/2006/main">
              <a:graphicData uri="http://schemas.openxmlformats.org/drawingml/2006/chart">
                <c:chart xmlns:c="http://schemas.openxmlformats.org/drawingml/2006/chart" r:id="rId11"/>
              </a:graphicData>
            </a:graphic>
          </wp:inline>
        </w:drawing>
      </w:r>
    </w:p>
    <w:p>
      <w:pPr>
        <w:pStyle w:val="Body"/>
        <w:bidi w:val="0"/>
        <w:spacing w:after="180" w:line="336" w:lineRule="auto"/>
        <w:ind w:left="0" w:right="0" w:firstLine="0"/>
        <w:jc w:val="left"/>
        <w:rPr>
          <w:rFonts w:ascii="Microsoft Sans Serif" w:cs="Microsoft Sans Serif" w:hAnsi="Microsoft Sans Serif" w:eastAsia="Microsoft Sans Serif"/>
          <w:u w:color="000000"/>
          <w:rtl w:val="0"/>
        </w:rPr>
      </w:pPr>
    </w:p>
    <w:p>
      <w:pPr>
        <w:pStyle w:val="Body"/>
        <w:bidi w:val="0"/>
        <w:spacing w:after="180" w:line="336" w:lineRule="auto"/>
        <w:ind w:left="0" w:right="0" w:firstLine="0"/>
        <w:jc w:val="left"/>
        <w:rPr>
          <w:rtl w:val="0"/>
        </w:rPr>
      </w:pPr>
      <w:r>
        <w:rPr>
          <w:sz w:val="28"/>
          <w:szCs w:val="28"/>
          <w:u w:color="000000"/>
          <w:rtl w:val="0"/>
          <w:lang w:val="en-US"/>
        </w:rPr>
        <w:t>The change in case numbers seen from 2021 reflects a 44% increase from 2019 and a 15% increase from 2020.  These increases continue to somewhat be attributed to the COVID 19 pandemic and it</w:t>
      </w:r>
      <w:r>
        <w:rPr>
          <w:sz w:val="28"/>
          <w:szCs w:val="28"/>
          <w:u w:color="000000"/>
          <w:rtl w:val="0"/>
          <w:lang w:val="en-US"/>
        </w:rPr>
        <w:t>’</w:t>
      </w:r>
      <w:r>
        <w:rPr>
          <w:sz w:val="28"/>
          <w:szCs w:val="28"/>
          <w:u w:color="000000"/>
          <w:rtl w:val="0"/>
          <w:lang w:val="en-US"/>
        </w:rPr>
        <w:t>s related co-morbidities.  We also saw increases in homicides and motor vehicle accident fatalities in 2021.</w:t>
      </w:r>
      <w:r>
        <w:rPr>
          <w:rFonts w:ascii="Arial Unicode MS" w:cs="Arial Unicode MS" w:hAnsi="Arial Unicode MS" w:eastAsia="Arial Unicode MS"/>
          <w:b w:val="0"/>
          <w:bCs w:val="0"/>
          <w:i w:val="0"/>
          <w:iCs w:val="0"/>
          <w:sz w:val="28"/>
          <w:szCs w:val="28"/>
          <w:u w:color="000000"/>
          <w:rtl w:val="0"/>
        </w:rPr>
        <w:br w:type="page"/>
      </w:r>
    </w:p>
    <w:p>
      <w:pPr>
        <w:pStyle w:val="Heading"/>
        <w:pageBreakBefore w:val="1"/>
        <w:bidi w:val="0"/>
        <w:spacing w:before="480" w:after="120" w:line="240" w:lineRule="auto"/>
        <w:ind w:left="0" w:right="0" w:firstLine="0"/>
        <w:jc w:val="left"/>
        <w:rPr>
          <w:outline w:val="0"/>
          <w:color w:val="216cff"/>
          <w:spacing w:val="0"/>
          <w:sz w:val="48"/>
          <w:szCs w:val="48"/>
          <w:u w:color="000000"/>
          <w:rtl w:val="0"/>
          <w14:textFill>
            <w14:solidFill>
              <w14:srgbClr w14:val="226DFF"/>
            </w14:solidFill>
          </w14:textFill>
        </w:rPr>
      </w:pPr>
      <w:r>
        <w:rPr>
          <w:outline w:val="0"/>
          <w:color w:val="216cff"/>
          <w:spacing w:val="0"/>
          <w:sz w:val="48"/>
          <w:szCs w:val="48"/>
          <w:u w:color="000000"/>
          <w:rtl w:val="0"/>
          <w14:textFill>
            <w14:solidFill>
              <w14:srgbClr w14:val="226DFF"/>
            </w14:solidFill>
          </w14:textFill>
        </w:rPr>
        <w:t>202</w:t>
      </w:r>
      <w:r>
        <w:rPr>
          <w:outline w:val="0"/>
          <w:color w:val="216cff"/>
          <w:spacing w:val="0"/>
          <w:sz w:val="48"/>
          <w:szCs w:val="48"/>
          <w:u w:color="000000"/>
          <w:rtl w:val="0"/>
          <w:lang w:val="en-US"/>
          <w14:textFill>
            <w14:solidFill>
              <w14:srgbClr w14:val="226DFF"/>
            </w14:solidFill>
          </w14:textFill>
        </w:rPr>
        <w:t>1</w:t>
      </w:r>
      <w:r>
        <w:rPr>
          <w:outline w:val="0"/>
          <w:color w:val="216cff"/>
          <w:spacing w:val="0"/>
          <w:sz w:val="48"/>
          <w:szCs w:val="48"/>
          <w:u w:color="000000"/>
          <w:rtl w:val="0"/>
          <w14:textFill>
            <w14:solidFill>
              <w14:srgbClr w14:val="226DFF"/>
            </w14:solidFill>
          </w14:textFill>
        </w:rPr>
        <w:t xml:space="preserve"> </w:t>
      </w:r>
      <w:r>
        <w:rPr>
          <w:outline w:val="0"/>
          <w:color w:val="216cff"/>
          <w:spacing w:val="0"/>
          <w:sz w:val="48"/>
          <w:szCs w:val="48"/>
          <w:u w:color="000000"/>
          <w:rtl w:val="0"/>
          <w:lang w:val="en-US"/>
          <w14:textFill>
            <w14:solidFill>
              <w14:srgbClr w14:val="226DFF"/>
            </w14:solidFill>
          </w14:textFill>
        </w:rPr>
        <w:t>MONTHLY TRENDS</w:t>
      </w:r>
    </w:p>
    <w:p>
      <w:pPr>
        <w:pStyle w:val="Body"/>
        <w:bidi w:val="0"/>
        <w:spacing w:after="0" w:line="360" w:lineRule="auto"/>
        <w:ind w:left="0" w:right="0" w:firstLine="0"/>
        <w:jc w:val="left"/>
        <w:rPr>
          <w:rFonts w:ascii="Microsoft Sans Serif" w:cs="Microsoft Sans Serif" w:hAnsi="Microsoft Sans Serif" w:eastAsia="Microsoft Sans Serif"/>
          <w:u w:color="000000"/>
          <w:rtl w:val="0"/>
        </w:rPr>
      </w:pPr>
    </w:p>
    <w:p>
      <w:pPr>
        <w:pStyle w:val="Body"/>
        <w:bidi w:val="0"/>
        <w:spacing w:after="0" w:line="360" w:lineRule="auto"/>
        <w:ind w:left="0" w:right="0" w:firstLine="0"/>
        <w:jc w:val="left"/>
        <w:rPr>
          <w:rFonts w:ascii="Microsoft Sans Serif" w:cs="Microsoft Sans Serif" w:hAnsi="Microsoft Sans Serif" w:eastAsia="Microsoft Sans Serif"/>
          <w:u w:color="000000"/>
          <w:rtl w:val="0"/>
        </w:rPr>
      </w:pPr>
    </w:p>
    <w:p>
      <w:pPr>
        <w:pStyle w:val="Body"/>
        <w:bidi w:val="0"/>
        <w:spacing w:after="0" w:line="360" w:lineRule="auto"/>
        <w:ind w:left="0" w:right="0" w:firstLine="0"/>
        <w:jc w:val="left"/>
        <w:rPr>
          <w:rFonts w:ascii="Microsoft Sans Serif" w:cs="Microsoft Sans Serif" w:hAnsi="Microsoft Sans Serif" w:eastAsia="Microsoft Sans Serif"/>
          <w:u w:color="000000"/>
          <w:rtl w:val="0"/>
        </w:rPr>
      </w:pPr>
    </w:p>
    <w:p>
      <w:pPr>
        <w:pStyle w:val="Body"/>
        <w:bidi w:val="0"/>
        <w:spacing w:after="0" w:line="360" w:lineRule="auto"/>
        <w:ind w:left="0" w:right="0" w:firstLine="0"/>
        <w:jc w:val="left"/>
        <w:rPr>
          <w:rFonts w:ascii="Microsoft Sans Serif" w:cs="Microsoft Sans Serif" w:hAnsi="Microsoft Sans Serif" w:eastAsia="Microsoft Sans Serif"/>
          <w:u w:color="000000"/>
          <w:rtl w:val="0"/>
        </w:rPr>
      </w:pPr>
    </w:p>
    <w:p>
      <w:pPr>
        <w:pStyle w:val="Body"/>
        <w:bidi w:val="0"/>
        <w:spacing w:after="0" w:line="360" w:lineRule="auto"/>
        <w:ind w:left="0" w:right="0" w:firstLine="0"/>
        <w:jc w:val="left"/>
        <w:rPr>
          <w:rFonts w:ascii="Microsoft Sans Serif" w:cs="Microsoft Sans Serif" w:hAnsi="Microsoft Sans Serif" w:eastAsia="Microsoft Sans Serif"/>
          <w:u w:color="000000"/>
          <w:rtl w:val="0"/>
        </w:rPr>
      </w:pPr>
    </w:p>
    <w:p>
      <w:pPr>
        <w:pStyle w:val="Body"/>
        <w:bidi w:val="0"/>
        <w:spacing w:after="0" w:line="360" w:lineRule="auto"/>
        <w:ind w:left="0" w:right="0" w:firstLine="0"/>
        <w:jc w:val="left"/>
        <w:rPr>
          <w:rFonts w:ascii="Microsoft Sans Serif" w:cs="Microsoft Sans Serif" w:hAnsi="Microsoft Sans Serif" w:eastAsia="Microsoft Sans Serif"/>
          <w:u w:color="000000"/>
          <w:rtl w:val="0"/>
        </w:rPr>
      </w:pPr>
      <w:r>
        <w:drawing xmlns:a="http://schemas.openxmlformats.org/drawingml/2006/main">
          <wp:inline distT="0" distB="0" distL="0" distR="0">
            <wp:extent cx="6515537" cy="3599683"/>
            <wp:effectExtent l="0" t="0" r="0" b="0"/>
            <wp:docPr id="1073741835" name="officeArt object"/>
            <wp:cNvGraphicFramePr/>
            <a:graphic xmlns:a="http://schemas.openxmlformats.org/drawingml/2006/main">
              <a:graphicData uri="http://schemas.openxmlformats.org/drawingml/2006/chart">
                <c:chart xmlns:c="http://schemas.openxmlformats.org/drawingml/2006/chart" r:id="rId12"/>
              </a:graphicData>
            </a:graphic>
          </wp:inline>
        </w:drawing>
      </w:r>
    </w:p>
    <w:p>
      <w:pPr>
        <w:pStyle w:val="Body"/>
        <w:bidi w:val="0"/>
        <w:spacing w:after="0" w:line="360" w:lineRule="auto"/>
        <w:ind w:left="0" w:right="0" w:firstLine="0"/>
        <w:jc w:val="left"/>
        <w:rPr>
          <w:rFonts w:ascii="Microsoft Sans Serif" w:cs="Microsoft Sans Serif" w:hAnsi="Microsoft Sans Serif" w:eastAsia="Microsoft Sans Serif"/>
          <w:u w:color="000000"/>
          <w:rtl w:val="0"/>
        </w:rPr>
      </w:pPr>
    </w:p>
    <w:p>
      <w:pPr>
        <w:pStyle w:val="Body"/>
        <w:bidi w:val="0"/>
        <w:spacing w:after="0" w:line="360" w:lineRule="auto"/>
        <w:ind w:left="0" w:right="0" w:firstLine="0"/>
        <w:jc w:val="left"/>
        <w:rPr>
          <w:sz w:val="28"/>
          <w:szCs w:val="28"/>
          <w:u w:color="000000"/>
          <w:rtl w:val="0"/>
        </w:rPr>
      </w:pPr>
      <w:r>
        <w:rPr>
          <w:sz w:val="28"/>
          <w:szCs w:val="28"/>
          <w:u w:color="000000"/>
          <w:rtl w:val="0"/>
          <w:lang w:val="en-US"/>
        </w:rPr>
        <w:t>The increase in cases during the winter months of January, October, November and December were predominantly natural deaths of which occurred in local hospitals and could be attributed to complications related to COVID 19.  While 395 COVID 19 positive cases were reported to this office, these numbers will vary slightly from the Colorado Department of Health statistics due to a variation in reporting regarding county of residence of the decedent.</w:t>
      </w:r>
    </w:p>
    <w:p>
      <w:pPr>
        <w:pStyle w:val="Body"/>
        <w:bidi w:val="0"/>
        <w:spacing w:after="0" w:line="360" w:lineRule="auto"/>
        <w:ind w:left="0" w:right="0" w:firstLine="0"/>
        <w:jc w:val="left"/>
        <w:rPr>
          <w:sz w:val="28"/>
          <w:szCs w:val="28"/>
          <w:u w:color="000000"/>
          <w:rtl w:val="0"/>
        </w:rPr>
      </w:pPr>
    </w:p>
    <w:p>
      <w:pPr>
        <w:pStyle w:val="Body"/>
        <w:bidi w:val="0"/>
        <w:spacing w:after="0" w:line="360" w:lineRule="auto"/>
        <w:ind w:left="0" w:right="0" w:firstLine="0"/>
        <w:jc w:val="left"/>
        <w:rPr>
          <w:sz w:val="28"/>
          <w:szCs w:val="28"/>
          <w:u w:color="000000"/>
          <w:rtl w:val="0"/>
        </w:rPr>
      </w:pPr>
    </w:p>
    <w:p>
      <w:pPr>
        <w:pStyle w:val="Body"/>
        <w:bidi w:val="0"/>
        <w:spacing w:after="0" w:line="360" w:lineRule="auto"/>
        <w:ind w:left="0" w:right="0" w:firstLine="0"/>
        <w:jc w:val="left"/>
        <w:rPr>
          <w:sz w:val="28"/>
          <w:szCs w:val="28"/>
          <w:u w:color="000000"/>
          <w:rtl w:val="0"/>
        </w:rPr>
      </w:pPr>
    </w:p>
    <w:p>
      <w:pPr>
        <w:pStyle w:val="Body"/>
        <w:bidi w:val="0"/>
        <w:spacing w:after="0" w:line="360" w:lineRule="auto"/>
        <w:ind w:left="0" w:right="0" w:firstLine="0"/>
        <w:jc w:val="left"/>
        <w:rPr>
          <w:sz w:val="28"/>
          <w:szCs w:val="28"/>
          <w:u w:color="000000"/>
          <w:rtl w:val="0"/>
        </w:rPr>
      </w:pPr>
      <w:r>
        <w:rPr>
          <w:sz w:val="28"/>
          <w:szCs w:val="28"/>
          <w:u w:color="000000"/>
          <w:rtl w:val="0"/>
        </w:rPr>
        <w:drawing xmlns:a="http://schemas.openxmlformats.org/drawingml/2006/main">
          <wp:anchor distT="0" distB="0" distL="152400" distR="152400" simplePos="0" relativeHeight="251667456" behindDoc="0" locked="0" layoutInCell="1" allowOverlap="1">
            <wp:simplePos x="0" y="0"/>
            <wp:positionH relativeFrom="margin">
              <wp:posOffset>667638</wp:posOffset>
            </wp:positionH>
            <wp:positionV relativeFrom="line">
              <wp:posOffset>707516</wp:posOffset>
            </wp:positionV>
            <wp:extent cx="5799329" cy="3646171"/>
            <wp:effectExtent l="0" t="0" r="0" b="0"/>
            <wp:wrapTopAndBottom distT="0" distB="0"/>
            <wp:docPr id="1073741836" name="officeArt object"/>
            <wp:cNvGraphicFramePr/>
            <a:graphic xmlns:a="http://schemas.openxmlformats.org/drawingml/2006/main">
              <a:graphicData uri="http://schemas.openxmlformats.org/drawingml/2006/chart">
                <c:chart xmlns:c="http://schemas.openxmlformats.org/drawingml/2006/chart" r:id="rId13"/>
              </a:graphicData>
            </a:graphic>
          </wp:anchor>
        </w:drawing>
      </w:r>
    </w:p>
    <w:p>
      <w:pPr>
        <w:pStyle w:val="Body"/>
        <w:bidi w:val="0"/>
        <w:spacing w:after="0" w:line="360" w:lineRule="auto"/>
        <w:ind w:left="0" w:right="0" w:firstLine="0"/>
        <w:jc w:val="left"/>
        <w:rPr>
          <w:rtl w:val="0"/>
        </w:rPr>
      </w:pPr>
      <w:r>
        <w:rPr>
          <w:rFonts w:ascii="Arial Unicode MS" w:cs="Arial Unicode MS" w:hAnsi="Arial Unicode MS" w:eastAsia="Arial Unicode MS"/>
          <w:b w:val="0"/>
          <w:bCs w:val="0"/>
          <w:i w:val="0"/>
          <w:iCs w:val="0"/>
          <w:sz w:val="28"/>
          <w:szCs w:val="28"/>
          <w:u w:color="000000"/>
          <w:rtl w:val="0"/>
        </w:rPr>
        <w:br w:type="page"/>
      </w:r>
    </w:p>
    <w:p>
      <w:pPr>
        <w:pStyle w:val="Body"/>
        <w:bidi w:val="0"/>
        <w:spacing w:after="0" w:line="360" w:lineRule="auto"/>
        <w:ind w:left="0" w:right="0" w:firstLine="0"/>
        <w:jc w:val="left"/>
        <w:rPr>
          <w:b w:val="1"/>
          <w:bCs w:val="1"/>
          <w:outline w:val="0"/>
          <w:color w:val="216cff"/>
          <w:sz w:val="48"/>
          <w:szCs w:val="48"/>
          <w:u w:color="000000"/>
          <w:rtl w:val="0"/>
          <w14:textFill>
            <w14:solidFill>
              <w14:srgbClr w14:val="226DFF"/>
            </w14:solidFill>
          </w14:textFill>
        </w:rPr>
      </w:pPr>
      <w:r>
        <w:rPr>
          <w:b w:val="1"/>
          <w:bCs w:val="1"/>
          <w:outline w:val="0"/>
          <w:color w:val="216cff"/>
          <w:sz w:val="48"/>
          <w:szCs w:val="48"/>
          <w:u w:color="000000"/>
          <w:rtl w:val="0"/>
          <w14:textFill>
            <w14:solidFill>
              <w14:srgbClr w14:val="226DFF"/>
            </w14:solidFill>
          </w14:textFill>
        </w:rPr>
        <w:t>AUTOPSIES</w:t>
      </w:r>
    </w:p>
    <w:p>
      <w:pPr>
        <w:pStyle w:val="Body"/>
        <w:bidi w:val="0"/>
        <w:spacing w:after="0" w:line="360" w:lineRule="auto"/>
        <w:ind w:left="0" w:right="0" w:firstLine="0"/>
        <w:jc w:val="left"/>
        <w:rPr>
          <w:rFonts w:ascii="Century Gothic" w:cs="Century Gothic" w:hAnsi="Century Gothic" w:eastAsia="Century Gothic"/>
          <w:b w:val="1"/>
          <w:bCs w:val="1"/>
          <w:outline w:val="0"/>
          <w:color w:val="216cff"/>
          <w:sz w:val="48"/>
          <w:szCs w:val="48"/>
          <w:u w:color="000000"/>
          <w:rtl w:val="0"/>
          <w14:textFill>
            <w14:solidFill>
              <w14:srgbClr w14:val="226DFF"/>
            </w14:solidFill>
          </w14:textFill>
        </w:rPr>
      </w:pPr>
    </w:p>
    <w:p>
      <w:pPr>
        <w:pStyle w:val="Body"/>
        <w:keepNext w:val="1"/>
        <w:keepLines w:val="0"/>
        <w:pageBreakBefore w:val="0"/>
        <w:framePr w:hSpace="0" w:hAnchor="text" w:vAnchor="text" w:wrap="around" w:dropCap="drop" w:lines="3"/>
        <w:widowControl w:val="1"/>
        <w:pBdr>
          <w:bottom w:val="nil"/>
          <w:right w:val="nil"/>
        </w:pBdr>
        <w:shd w:val="clear" w:color="auto" w:fill="auto"/>
        <w:suppressAutoHyphens w:val="0"/>
        <w:bidi w:val="0"/>
        <w:spacing w:before="0" w:after="0" w:line="1324" w:lineRule="exact"/>
        <w:ind w:left="0" w:right="0" w:firstLine="0"/>
        <w:jc w:val="left"/>
        <w:outlineLvl w:val="9"/>
        <w:textAlignment w:val="baseline"/>
        <w:rPr>
          <w:rtl w:val="0"/>
        </w:rPr>
      </w:pPr>
      <w:r>
        <w:rPr>
          <w:rFonts w:ascii="Graphik" w:cs="Graphik" w:hAnsi="Graphik" w:eastAsia="Graphik"/>
          <w:b w:val="0"/>
          <w:bCs w:val="0"/>
          <w:i w:val="0"/>
          <w:iCs w:val="0"/>
          <w:caps w:val="0"/>
          <w:smallCaps w:val="0"/>
          <w:strike w:val="0"/>
          <w:dstrike w:val="0"/>
          <w:outline w:val="0"/>
          <w:color w:val="000000"/>
          <w:spacing w:val="0"/>
          <w:kern w:val="0"/>
          <w:position w:val="-5"/>
          <w:sz w:val="144"/>
          <w:szCs w:val="144"/>
          <w:u w:val="none" w:color="000000"/>
          <w:shd w:val="nil" w:color="auto" w:fill="auto"/>
          <w:vertAlign w:val="baseline"/>
          <w:rtl w:val="0"/>
          <w14:textOutline>
            <w14:noFill/>
          </w14:textOutline>
          <w14:textFill>
            <w14:solidFill>
              <w14:srgbClr w14:val="000000"/>
            </w14:solidFill>
          </w14:textFill>
        </w:rPr>
        <w:t>O</w:t>
      </w:r>
    </w:p>
    <w:p>
      <w:pPr>
        <w:pStyle w:val="Body"/>
        <w:bidi w:val="0"/>
        <w:spacing w:after="0" w:line="360" w:lineRule="auto"/>
        <w:ind w:left="0" w:right="0" w:firstLine="0"/>
        <w:jc w:val="left"/>
        <w:rPr>
          <w:rFonts w:ascii="Century Gothic" w:cs="Century Gothic" w:hAnsi="Century Gothic" w:eastAsia="Century Gothic"/>
          <w:u w:color="000000"/>
          <w:rtl w:val="0"/>
        </w:rPr>
      </w:pPr>
      <w:r>
        <w:rPr>
          <w:rFonts w:ascii="Century Gothic" w:hAnsi="Century Gothic"/>
          <w:u w:color="000000"/>
          <w:rtl w:val="0"/>
          <w:lang w:val="en-US"/>
        </w:rPr>
        <w:t xml:space="preserve">f the </w:t>
      </w:r>
      <w:r>
        <w:rPr>
          <w:rFonts w:ascii="Century Gothic" w:hAnsi="Century Gothic"/>
          <w:u w:color="000000"/>
          <w:rtl w:val="0"/>
          <w:lang w:val="en-US"/>
        </w:rPr>
        <w:t>2,813</w:t>
      </w:r>
      <w:r>
        <w:rPr>
          <w:rFonts w:ascii="Century Gothic" w:hAnsi="Century Gothic"/>
          <w:u w:color="000000"/>
          <w:rtl w:val="0"/>
        </w:rPr>
        <w:t xml:space="preserve"> </w:t>
      </w:r>
      <w:r>
        <w:rPr>
          <w:rFonts w:ascii="Century Gothic" w:hAnsi="Century Gothic"/>
          <w:u w:color="000000"/>
          <w:rtl w:val="0"/>
          <w:lang w:val="en-US"/>
        </w:rPr>
        <w:t>deaths in Pueblo County</w:t>
      </w:r>
      <w:r>
        <w:rPr>
          <w:rFonts w:ascii="Century Gothic" w:hAnsi="Century Gothic"/>
          <w:u w:color="000000"/>
          <w:rtl w:val="0"/>
          <w:lang w:val="en-US"/>
        </w:rPr>
        <w:t xml:space="preserve"> that were </w:t>
      </w:r>
      <w:r>
        <w:rPr>
          <w:rFonts w:ascii="Century Gothic" w:hAnsi="Century Gothic"/>
          <w:u w:color="000000"/>
          <w:rtl w:val="0"/>
          <w:lang w:val="en-US"/>
        </w:rPr>
        <w:t>reported to the Colorado Department of Heath</w:t>
      </w:r>
      <w:r>
        <w:rPr>
          <w:rFonts w:ascii="Century Gothic" w:hAnsi="Century Gothic"/>
          <w:u w:color="000000"/>
          <w:rtl w:val="0"/>
          <w:lang w:val="en-US"/>
        </w:rPr>
        <w:t xml:space="preserve">, an autopsy on some level was performed on </w:t>
      </w:r>
      <w:r>
        <w:rPr>
          <w:rFonts w:ascii="Century Gothic" w:hAnsi="Century Gothic"/>
          <w:u w:color="000000"/>
          <w:rtl w:val="0"/>
          <w:lang w:val="en-US"/>
        </w:rPr>
        <w:t>10%</w:t>
      </w:r>
      <w:r>
        <w:rPr>
          <w:rFonts w:ascii="Century Gothic" w:hAnsi="Century Gothic"/>
          <w:u w:color="000000"/>
          <w:rtl w:val="0"/>
          <w:lang w:val="en-US"/>
        </w:rPr>
        <w:t xml:space="preserve"> of the cases.  Depending on the circumstances of the death, 265 full autopsies were performed along with 4 external exams and 16 cranial exams.  Autopsies are conducted to determine manner and cause of death, to document disease, to identify injury patterns, or to recover evidence.  Along with the physical autopsy, toxicology testing and histology review are performed which may </w:t>
      </w:r>
      <w:r>
        <w:rPr>
          <w:rFonts w:ascii="Century Gothic" w:hAnsi="Century Gothic"/>
          <w:u w:color="000000"/>
          <w:rtl w:val="0"/>
          <w:lang w:val="en-US"/>
        </w:rPr>
        <w:t xml:space="preserve">also </w:t>
      </w:r>
      <w:r>
        <w:rPr>
          <w:rFonts w:ascii="Century Gothic" w:hAnsi="Century Gothic"/>
          <w:u w:color="000000"/>
          <w:rtl w:val="0"/>
          <w:lang w:val="en-US"/>
        </w:rPr>
        <w:t xml:space="preserve">be </w:t>
      </w:r>
      <w:r>
        <w:rPr>
          <w:rFonts w:ascii="Century Gothic" w:hAnsi="Century Gothic"/>
          <w:u w:color="000000"/>
          <w:rtl w:val="0"/>
          <w:lang w:val="en-US"/>
        </w:rPr>
        <w:t>useful</w:t>
      </w:r>
      <w:r>
        <w:rPr>
          <w:rFonts w:ascii="Century Gothic" w:hAnsi="Century Gothic"/>
          <w:u w:color="000000"/>
          <w:rtl w:val="0"/>
          <w:lang w:val="en-US"/>
        </w:rPr>
        <w:t xml:space="preserve"> in determining manner and cause of death.  Toxicology tests include those indicating the role of alcohol, illicit drugs, commonly abused prescription and non-prescription drugs, and other abused substances/poisons as needed.</w:t>
      </w:r>
    </w:p>
    <w:p>
      <w:pPr>
        <w:pStyle w:val="Body"/>
        <w:bidi w:val="0"/>
        <w:spacing w:after="0" w:line="360" w:lineRule="auto"/>
        <w:ind w:left="0" w:right="0" w:firstLine="0"/>
        <w:jc w:val="left"/>
        <w:rPr>
          <w:rFonts w:ascii="Century Gothic" w:cs="Century Gothic" w:hAnsi="Century Gothic" w:eastAsia="Century Gothic"/>
          <w:u w:color="000000"/>
          <w:rtl w:val="0"/>
        </w:rPr>
      </w:pPr>
    </w:p>
    <w:p>
      <w:pPr>
        <w:pStyle w:val="Body"/>
        <w:bidi w:val="0"/>
        <w:spacing w:after="0" w:line="360" w:lineRule="auto"/>
        <w:ind w:left="0" w:right="0" w:firstLine="0"/>
        <w:jc w:val="left"/>
        <w:rPr>
          <w:rFonts w:ascii="Century Gothic" w:cs="Century Gothic" w:hAnsi="Century Gothic" w:eastAsia="Century Gothic"/>
          <w:u w:color="000000"/>
          <w:rtl w:val="0"/>
        </w:rPr>
      </w:pPr>
      <w:r>
        <w:rPr>
          <w:rFonts w:ascii="Century Gothic" w:hAnsi="Century Gothic"/>
          <w:u w:color="000000"/>
          <w:rtl w:val="0"/>
          <w:lang w:val="en-US"/>
        </w:rPr>
        <w:t>Colorado House Bill 11-1258 was passed in 2011 which mandates forensic autopsies be performed by a board-certified forensic pathologist.</w:t>
      </w:r>
      <w:r>
        <w:rPr>
          <w:rFonts w:ascii="Century Gothic" w:hAnsi="Century Gothic"/>
          <w:u w:color="000000"/>
          <w:rtl w:val="0"/>
          <w:lang w:val="en-US"/>
        </w:rPr>
        <w:t xml:space="preserve">  This mandate is now also incorporated in Colorado Revised Statute 30-10-606.</w:t>
      </w:r>
    </w:p>
    <w:p>
      <w:pPr>
        <w:pStyle w:val="Body"/>
        <w:bidi w:val="0"/>
        <w:spacing w:after="0" w:line="360" w:lineRule="auto"/>
        <w:ind w:left="0" w:right="0" w:firstLine="0"/>
        <w:jc w:val="left"/>
        <w:rPr>
          <w:rFonts w:ascii="Century Gothic" w:cs="Century Gothic" w:hAnsi="Century Gothic" w:eastAsia="Century Gothic"/>
          <w:u w:color="000000"/>
          <w:rtl w:val="0"/>
        </w:rPr>
      </w:pPr>
    </w:p>
    <w:p>
      <w:pPr>
        <w:pStyle w:val="Body"/>
        <w:bidi w:val="0"/>
        <w:spacing w:after="0" w:line="360" w:lineRule="auto"/>
        <w:ind w:left="0" w:right="0" w:firstLine="0"/>
        <w:jc w:val="left"/>
        <w:rPr>
          <w:rFonts w:ascii="Century Gothic" w:cs="Century Gothic" w:hAnsi="Century Gothic" w:eastAsia="Century Gothic"/>
          <w:b w:val="1"/>
          <w:bCs w:val="1"/>
          <w:u w:color="000000"/>
          <w:rtl w:val="0"/>
        </w:rPr>
      </w:pPr>
      <w:r>
        <w:rPr>
          <w:rFonts w:ascii="Century Gothic" w:hAnsi="Century Gothic"/>
          <w:b w:val="1"/>
          <w:bCs w:val="1"/>
          <w:u w:color="000000"/>
          <w:rtl w:val="0"/>
          <w:lang w:val="en-US"/>
        </w:rPr>
        <w:t xml:space="preserve">By statute, a </w:t>
      </w:r>
      <w:r>
        <w:rPr>
          <w:rFonts w:ascii="Century Gothic" w:hAnsi="Century Gothic"/>
          <w:b w:val="1"/>
          <w:bCs w:val="1"/>
          <w:u w:color="000000"/>
          <w:rtl w:val="0"/>
          <w:lang w:val="en-US"/>
        </w:rPr>
        <w:t>forensic pathologist shall perform a forensic autopsy in the following cases:</w:t>
      </w:r>
    </w:p>
    <w:p>
      <w:pPr>
        <w:pStyle w:val="Default"/>
        <w:numPr>
          <w:ilvl w:val="0"/>
          <w:numId w:val="6"/>
        </w:numPr>
        <w:spacing w:line="360" w:lineRule="auto"/>
        <w:jc w:val="left"/>
        <w:rPr>
          <w:rFonts w:ascii="Century Gothic" w:hAnsi="Century Gothic"/>
          <w:b w:val="1"/>
          <w:bCs w:val="1"/>
          <w:sz w:val="24"/>
          <w:szCs w:val="24"/>
          <w:u w:color="000000"/>
          <w:lang w:val="en-US"/>
        </w:rPr>
      </w:pPr>
      <w:r>
        <w:rPr>
          <w:rFonts w:ascii="Century Gothic" w:hAnsi="Century Gothic"/>
          <w:b w:val="0"/>
          <w:bCs w:val="0"/>
          <w:sz w:val="24"/>
          <w:szCs w:val="24"/>
          <w:u w:color="000000"/>
          <w:rtl w:val="0"/>
          <w:lang w:val="en-US"/>
        </w:rPr>
        <w:t>The death is known or suspected to have been caused by apparent</w:t>
      </w:r>
    </w:p>
    <w:p>
      <w:pPr>
        <w:pStyle w:val="Default"/>
        <w:bidi w:val="0"/>
        <w:spacing w:line="360" w:lineRule="auto"/>
        <w:ind w:left="720" w:right="0" w:firstLine="0"/>
        <w:jc w:val="left"/>
        <w:rPr>
          <w:rFonts w:ascii="Century Gothic" w:cs="Century Gothic" w:hAnsi="Century Gothic" w:eastAsia="Century Gothic"/>
          <w:sz w:val="24"/>
          <w:szCs w:val="24"/>
          <w:u w:color="000000"/>
          <w:rtl w:val="0"/>
          <w:lang w:val="en-US"/>
        </w:rPr>
      </w:pPr>
      <w:r>
        <w:rPr>
          <w:rFonts w:ascii="Microsoft Sans Serif" w:hAnsi="Microsoft Sans Serif"/>
          <w:sz w:val="24"/>
          <w:szCs w:val="24"/>
          <w:u w:color="000000"/>
          <w:rtl w:val="0"/>
          <w:lang w:val="en-US"/>
        </w:rPr>
        <w:t>c</w:t>
      </w:r>
      <w:r>
        <w:rPr>
          <w:rFonts w:ascii="Century Gothic" w:hAnsi="Century Gothic"/>
          <w:sz w:val="24"/>
          <w:szCs w:val="24"/>
          <w:u w:color="000000"/>
          <w:rtl w:val="0"/>
          <w:lang w:val="en-US"/>
        </w:rPr>
        <w:t>riminal violence.</w:t>
      </w:r>
    </w:p>
    <w:p>
      <w:pPr>
        <w:pStyle w:val="Default"/>
        <w:numPr>
          <w:ilvl w:val="0"/>
          <w:numId w:val="6"/>
        </w:numPr>
        <w:spacing w:line="360" w:lineRule="auto"/>
        <w:jc w:val="left"/>
        <w:rPr>
          <w:rFonts w:ascii="Century Gothic" w:hAnsi="Century Gothic"/>
          <w:b w:val="1"/>
          <w:bCs w:val="1"/>
          <w:sz w:val="24"/>
          <w:szCs w:val="24"/>
          <w:u w:color="000000"/>
          <w:lang w:val="en-US"/>
        </w:rPr>
      </w:pPr>
      <w:r>
        <w:rPr>
          <w:rFonts w:ascii="Century Gothic" w:hAnsi="Century Gothic"/>
          <w:b w:val="0"/>
          <w:bCs w:val="0"/>
          <w:sz w:val="24"/>
          <w:szCs w:val="24"/>
          <w:u w:color="000000"/>
          <w:rtl w:val="0"/>
          <w:lang w:val="en-US"/>
        </w:rPr>
        <w:t>The death is unexpected and unexplained in an infant or child.</w:t>
      </w:r>
    </w:p>
    <w:p>
      <w:pPr>
        <w:pStyle w:val="Default"/>
        <w:numPr>
          <w:ilvl w:val="0"/>
          <w:numId w:val="6"/>
        </w:numPr>
        <w:spacing w:line="360" w:lineRule="auto"/>
        <w:jc w:val="left"/>
        <w:rPr>
          <w:rFonts w:ascii="Century Gothic" w:hAnsi="Century Gothic"/>
          <w:b w:val="1"/>
          <w:bCs w:val="1"/>
          <w:sz w:val="24"/>
          <w:szCs w:val="24"/>
          <w:u w:color="000000"/>
          <w:lang w:val="en-US"/>
        </w:rPr>
      </w:pPr>
      <w:r>
        <w:rPr>
          <w:rFonts w:ascii="Century Gothic" w:hAnsi="Century Gothic"/>
          <w:b w:val="0"/>
          <w:bCs w:val="0"/>
          <w:sz w:val="24"/>
          <w:szCs w:val="24"/>
          <w:u w:color="000000"/>
          <w:rtl w:val="0"/>
          <w:lang w:val="en-US"/>
        </w:rPr>
        <w:t>The death is associated with police action.</w:t>
      </w:r>
    </w:p>
    <w:p>
      <w:pPr>
        <w:pStyle w:val="Default"/>
        <w:numPr>
          <w:ilvl w:val="0"/>
          <w:numId w:val="6"/>
        </w:numPr>
        <w:spacing w:line="360" w:lineRule="auto"/>
        <w:jc w:val="left"/>
        <w:rPr>
          <w:rFonts w:ascii="Century Gothic" w:hAnsi="Century Gothic"/>
          <w:b w:val="1"/>
          <w:bCs w:val="1"/>
          <w:sz w:val="24"/>
          <w:szCs w:val="24"/>
          <w:u w:color="000000"/>
          <w:lang w:val="en-US"/>
        </w:rPr>
      </w:pPr>
      <w:r>
        <w:rPr>
          <w:rFonts w:ascii="Century Gothic" w:hAnsi="Century Gothic"/>
          <w:b w:val="0"/>
          <w:bCs w:val="0"/>
          <w:sz w:val="24"/>
          <w:szCs w:val="24"/>
          <w:u w:color="000000"/>
          <w:rtl w:val="0"/>
          <w:lang w:val="en-US"/>
        </w:rPr>
        <w:t>The death is apparently non-natural and in custody of a local, state,</w:t>
      </w:r>
    </w:p>
    <w:p>
      <w:pPr>
        <w:pStyle w:val="Default"/>
        <w:bidi w:val="0"/>
        <w:spacing w:line="360" w:lineRule="auto"/>
        <w:ind w:left="720" w:right="0" w:firstLine="0"/>
        <w:jc w:val="left"/>
        <w:rPr>
          <w:rFonts w:ascii="Century Gothic" w:cs="Century Gothic" w:hAnsi="Century Gothic" w:eastAsia="Century Gothic"/>
          <w:sz w:val="24"/>
          <w:szCs w:val="24"/>
          <w:u w:color="000000"/>
          <w:rtl w:val="0"/>
          <w:lang w:val="en-US"/>
        </w:rPr>
      </w:pPr>
      <w:r>
        <w:rPr>
          <w:rFonts w:ascii="Microsoft Sans Serif" w:hAnsi="Microsoft Sans Serif"/>
          <w:sz w:val="24"/>
          <w:szCs w:val="24"/>
          <w:u w:color="000000"/>
          <w:rtl w:val="0"/>
          <w:lang w:val="en-US"/>
        </w:rPr>
        <w:t>o</w:t>
      </w:r>
      <w:r>
        <w:rPr>
          <w:rFonts w:ascii="Century Gothic" w:hAnsi="Century Gothic"/>
          <w:sz w:val="24"/>
          <w:szCs w:val="24"/>
          <w:u w:color="000000"/>
          <w:rtl w:val="0"/>
          <w:lang w:val="en-US"/>
        </w:rPr>
        <w:t>r federal institution.</w:t>
      </w:r>
    </w:p>
    <w:p>
      <w:pPr>
        <w:pStyle w:val="Default"/>
        <w:numPr>
          <w:ilvl w:val="0"/>
          <w:numId w:val="6"/>
        </w:numPr>
        <w:spacing w:line="360" w:lineRule="auto"/>
        <w:jc w:val="left"/>
        <w:rPr>
          <w:rFonts w:ascii="Century Gothic" w:hAnsi="Century Gothic"/>
          <w:b w:val="1"/>
          <w:bCs w:val="1"/>
          <w:sz w:val="24"/>
          <w:szCs w:val="24"/>
          <w:u w:color="000000"/>
          <w:lang w:val="en-US"/>
        </w:rPr>
      </w:pPr>
      <w:r>
        <w:rPr>
          <w:rFonts w:ascii="Century Gothic" w:hAnsi="Century Gothic"/>
          <w:b w:val="0"/>
          <w:bCs w:val="0"/>
          <w:sz w:val="24"/>
          <w:szCs w:val="24"/>
          <w:u w:color="000000"/>
          <w:rtl w:val="0"/>
          <w:lang w:val="en-US"/>
        </w:rPr>
        <w:t>The death is due to acute workplace injury.</w:t>
      </w:r>
    </w:p>
    <w:p>
      <w:pPr>
        <w:pStyle w:val="Default"/>
        <w:numPr>
          <w:ilvl w:val="0"/>
          <w:numId w:val="6"/>
        </w:numPr>
        <w:spacing w:line="360" w:lineRule="auto"/>
        <w:jc w:val="left"/>
        <w:rPr>
          <w:rFonts w:ascii="Century Gothic" w:hAnsi="Century Gothic"/>
          <w:b w:val="1"/>
          <w:bCs w:val="1"/>
          <w:sz w:val="24"/>
          <w:szCs w:val="24"/>
          <w:u w:color="000000"/>
          <w:lang w:val="en-US"/>
        </w:rPr>
      </w:pPr>
      <w:r>
        <w:rPr>
          <w:rFonts w:ascii="Century Gothic" w:hAnsi="Century Gothic"/>
          <w:b w:val="0"/>
          <w:bCs w:val="0"/>
          <w:sz w:val="24"/>
          <w:szCs w:val="24"/>
          <w:u w:color="000000"/>
          <w:rtl w:val="0"/>
          <w:lang w:val="en-US"/>
        </w:rPr>
        <w:t>The death is caused by apparent electrocution.</w:t>
      </w:r>
    </w:p>
    <w:p>
      <w:pPr>
        <w:pStyle w:val="Default"/>
        <w:numPr>
          <w:ilvl w:val="0"/>
          <w:numId w:val="6"/>
        </w:numPr>
        <w:spacing w:line="360" w:lineRule="auto"/>
        <w:jc w:val="left"/>
        <w:rPr>
          <w:rFonts w:ascii="Century Gothic" w:hAnsi="Century Gothic"/>
          <w:b w:val="1"/>
          <w:bCs w:val="1"/>
          <w:sz w:val="24"/>
          <w:szCs w:val="24"/>
          <w:u w:color="000000"/>
          <w:lang w:val="en-US"/>
        </w:rPr>
      </w:pPr>
      <w:r>
        <w:rPr>
          <w:rFonts w:ascii="Century Gothic" w:hAnsi="Century Gothic"/>
          <w:b w:val="0"/>
          <w:bCs w:val="0"/>
          <w:sz w:val="24"/>
          <w:szCs w:val="24"/>
          <w:u w:color="000000"/>
          <w:rtl w:val="0"/>
          <w:lang w:val="en-US"/>
        </w:rPr>
        <w:t xml:space="preserve">The death is </w:t>
      </w:r>
      <w:r>
        <w:rPr>
          <w:rFonts w:ascii="Century Gothic" w:hAnsi="Century Gothic"/>
          <w:b w:val="0"/>
          <w:bCs w:val="0"/>
          <w:sz w:val="24"/>
          <w:szCs w:val="24"/>
          <w:u w:color="000000"/>
          <w:rtl w:val="0"/>
          <w:lang w:val="en-US"/>
        </w:rPr>
        <w:t xml:space="preserve">caused </w:t>
      </w:r>
      <w:r>
        <w:rPr>
          <w:rFonts w:ascii="Century Gothic" w:hAnsi="Century Gothic"/>
          <w:b w:val="0"/>
          <w:bCs w:val="0"/>
          <w:sz w:val="24"/>
          <w:szCs w:val="24"/>
          <w:u w:color="000000"/>
          <w:rtl w:val="0"/>
          <w:lang w:val="en-US"/>
        </w:rPr>
        <w:t>by apparent intoxication by alcohol, drugs, or poison, unless</w:t>
      </w:r>
      <w:r>
        <w:rPr>
          <w:rFonts w:ascii="Century Gothic" w:hAnsi="Century Gothic"/>
          <w:b w:val="0"/>
          <w:bCs w:val="0"/>
          <w:sz w:val="24"/>
          <w:szCs w:val="24"/>
          <w:u w:color="000000"/>
          <w:rtl w:val="0"/>
          <w:lang w:val="en-US"/>
        </w:rPr>
        <w:t xml:space="preserve"> a </w:t>
      </w:r>
      <w:r>
        <w:rPr>
          <w:rFonts w:ascii="Century Gothic" w:hAnsi="Century Gothic"/>
          <w:b w:val="0"/>
          <w:bCs w:val="0"/>
          <w:sz w:val="24"/>
          <w:szCs w:val="24"/>
          <w:u w:color="000000"/>
          <w:rtl w:val="0"/>
          <w:lang w:val="en-US"/>
        </w:rPr>
        <w:t>significant interval has passed, and the medical findings and absence</w:t>
      </w:r>
    </w:p>
    <w:p>
      <w:pPr>
        <w:pStyle w:val="Default"/>
        <w:bidi w:val="0"/>
        <w:spacing w:line="360" w:lineRule="auto"/>
        <w:ind w:left="720" w:right="0" w:firstLine="0"/>
        <w:jc w:val="left"/>
        <w:rPr>
          <w:rFonts w:ascii="Century Gothic" w:cs="Century Gothic" w:hAnsi="Century Gothic" w:eastAsia="Century Gothic"/>
          <w:sz w:val="24"/>
          <w:szCs w:val="24"/>
          <w:u w:color="000000"/>
          <w:rtl w:val="0"/>
          <w:lang w:val="en-US"/>
        </w:rPr>
      </w:pPr>
      <w:r>
        <w:rPr>
          <w:rFonts w:ascii="Century Gothic" w:hAnsi="Century Gothic"/>
          <w:sz w:val="24"/>
          <w:szCs w:val="24"/>
          <w:u w:color="000000"/>
          <w:rtl w:val="0"/>
          <w:lang w:val="en-US"/>
        </w:rPr>
        <w:t>o</w:t>
      </w:r>
      <w:r>
        <w:rPr>
          <w:rFonts w:ascii="Century Gothic" w:hAnsi="Century Gothic"/>
          <w:sz w:val="24"/>
          <w:szCs w:val="24"/>
          <w:u w:color="000000"/>
          <w:rtl w:val="0"/>
          <w:lang w:val="en-US"/>
        </w:rPr>
        <w:t>f trauma are well documented.</w:t>
      </w:r>
    </w:p>
    <w:p>
      <w:pPr>
        <w:pStyle w:val="Default"/>
        <w:numPr>
          <w:ilvl w:val="0"/>
          <w:numId w:val="6"/>
        </w:numPr>
        <w:spacing w:line="360" w:lineRule="auto"/>
        <w:jc w:val="left"/>
        <w:rPr>
          <w:rFonts w:ascii="Century Gothic" w:hAnsi="Century Gothic"/>
          <w:b w:val="1"/>
          <w:bCs w:val="1"/>
          <w:sz w:val="24"/>
          <w:szCs w:val="24"/>
          <w:u w:color="000000"/>
          <w:lang w:val="en-US"/>
        </w:rPr>
      </w:pPr>
      <w:r>
        <w:rPr>
          <w:rFonts w:ascii="Century Gothic" w:hAnsi="Century Gothic"/>
          <w:b w:val="0"/>
          <w:bCs w:val="0"/>
          <w:sz w:val="24"/>
          <w:szCs w:val="24"/>
          <w:u w:color="000000"/>
          <w:rtl w:val="0"/>
          <w:lang w:val="en-US"/>
        </w:rPr>
        <w:t>The death is caused by unwitnessed or suspected drowning.</w:t>
      </w:r>
    </w:p>
    <w:p>
      <w:pPr>
        <w:pStyle w:val="Default"/>
        <w:numPr>
          <w:ilvl w:val="0"/>
          <w:numId w:val="6"/>
        </w:numPr>
        <w:spacing w:line="360" w:lineRule="auto"/>
        <w:jc w:val="left"/>
        <w:rPr>
          <w:rFonts w:ascii="Century Gothic" w:hAnsi="Century Gothic"/>
          <w:b w:val="1"/>
          <w:bCs w:val="1"/>
          <w:sz w:val="24"/>
          <w:szCs w:val="24"/>
          <w:u w:color="000000"/>
          <w:lang w:val="en-US"/>
        </w:rPr>
      </w:pPr>
      <w:r>
        <w:rPr>
          <w:rFonts w:ascii="Century Gothic" w:hAnsi="Century Gothic"/>
          <w:b w:val="0"/>
          <w:bCs w:val="0"/>
          <w:sz w:val="24"/>
          <w:szCs w:val="24"/>
          <w:u w:color="000000"/>
          <w:rtl w:val="0"/>
          <w:lang w:val="en-US"/>
        </w:rPr>
        <w:t>The body is unidentified, and the autopsy may aid in identification.</w:t>
      </w:r>
    </w:p>
    <w:p>
      <w:pPr>
        <w:pStyle w:val="Default"/>
        <w:numPr>
          <w:ilvl w:val="0"/>
          <w:numId w:val="6"/>
        </w:numPr>
        <w:spacing w:line="360" w:lineRule="auto"/>
        <w:jc w:val="left"/>
        <w:rPr>
          <w:rFonts w:ascii="Century Gothic" w:hAnsi="Century Gothic"/>
          <w:b w:val="1"/>
          <w:bCs w:val="1"/>
          <w:sz w:val="24"/>
          <w:szCs w:val="24"/>
          <w:u w:color="000000"/>
          <w:lang w:val="en-US"/>
        </w:rPr>
      </w:pPr>
      <w:r>
        <w:rPr>
          <w:rFonts w:ascii="Century Gothic" w:hAnsi="Century Gothic"/>
          <w:b w:val="0"/>
          <w:bCs w:val="0"/>
          <w:sz w:val="24"/>
          <w:szCs w:val="24"/>
          <w:u w:color="000000"/>
          <w:rtl w:val="0"/>
          <w:lang w:val="en-US"/>
        </w:rPr>
        <w:t xml:space="preserve">The body </w:t>
      </w:r>
      <w:r>
        <w:rPr>
          <w:rFonts w:ascii="Century Gothic" w:hAnsi="Century Gothic"/>
          <w:b w:val="0"/>
          <w:bCs w:val="0"/>
          <w:sz w:val="24"/>
          <w:szCs w:val="24"/>
          <w:u w:color="000000"/>
          <w:rtl w:val="0"/>
          <w:lang w:val="en-US"/>
        </w:rPr>
        <w:t xml:space="preserve">is </w:t>
      </w:r>
      <w:r>
        <w:rPr>
          <w:rFonts w:ascii="Century Gothic" w:hAnsi="Century Gothic"/>
          <w:b w:val="0"/>
          <w:bCs w:val="0"/>
          <w:sz w:val="24"/>
          <w:szCs w:val="24"/>
          <w:u w:color="000000"/>
          <w:rtl w:val="0"/>
          <w:lang w:val="en-US"/>
        </w:rPr>
        <w:t>skeletonized.</w:t>
      </w:r>
    </w:p>
    <w:p>
      <w:pPr>
        <w:pStyle w:val="Default"/>
        <w:numPr>
          <w:ilvl w:val="0"/>
          <w:numId w:val="6"/>
        </w:numPr>
        <w:spacing w:line="360" w:lineRule="auto"/>
        <w:jc w:val="left"/>
        <w:rPr>
          <w:rFonts w:ascii="Century Gothic" w:hAnsi="Century Gothic"/>
          <w:b w:val="1"/>
          <w:bCs w:val="1"/>
          <w:sz w:val="24"/>
          <w:szCs w:val="24"/>
          <w:u w:color="000000"/>
          <w:lang w:val="en-US"/>
        </w:rPr>
      </w:pPr>
      <w:r>
        <w:rPr>
          <w:rFonts w:ascii="Century Gothic" w:hAnsi="Century Gothic"/>
          <w:b w:val="0"/>
          <w:bCs w:val="0"/>
          <w:sz w:val="24"/>
          <w:szCs w:val="24"/>
          <w:u w:color="000000"/>
          <w:rtl w:val="0"/>
          <w:lang w:val="en-US"/>
        </w:rPr>
        <w:t>The forensic pathologist deems a forensic autopsy is necessary to determine</w:t>
      </w:r>
    </w:p>
    <w:p>
      <w:pPr>
        <w:pStyle w:val="Body"/>
        <w:bidi w:val="0"/>
        <w:spacing w:after="0" w:line="360" w:lineRule="auto"/>
        <w:ind w:left="0" w:right="0" w:firstLine="360"/>
        <w:jc w:val="left"/>
        <w:rPr>
          <w:rFonts w:ascii="Century Gothic" w:cs="Century Gothic" w:hAnsi="Century Gothic" w:eastAsia="Century Gothic"/>
          <w:u w:color="000000"/>
          <w:rtl w:val="0"/>
        </w:rPr>
      </w:pPr>
      <w:r>
        <w:rPr>
          <w:rFonts w:ascii="Century Gothic" w:hAnsi="Century Gothic"/>
          <w:u w:color="000000"/>
          <w:rtl w:val="0"/>
        </w:rPr>
        <w:t xml:space="preserve">     </w:t>
      </w:r>
      <w:r>
        <w:rPr>
          <w:rFonts w:ascii="Century Gothic" w:hAnsi="Century Gothic"/>
          <w:u w:color="000000"/>
          <w:rtl w:val="0"/>
          <w:lang w:val="en-US"/>
        </w:rPr>
        <w:t>manner and cause</w:t>
      </w:r>
      <w:r>
        <w:rPr>
          <w:rFonts w:ascii="Century Gothic" w:hAnsi="Century Gothic"/>
          <w:u w:color="000000"/>
          <w:rtl w:val="0"/>
          <w:lang w:val="en-US"/>
        </w:rPr>
        <w:t xml:space="preserve"> of death, </w:t>
      </w:r>
      <w:r>
        <w:rPr>
          <w:rFonts w:ascii="Century Gothic" w:hAnsi="Century Gothic"/>
          <w:u w:color="000000"/>
          <w:rtl w:val="0"/>
          <w:lang w:val="en-US"/>
        </w:rPr>
        <w:t>to</w:t>
      </w:r>
      <w:r>
        <w:rPr>
          <w:rFonts w:ascii="Century Gothic" w:hAnsi="Century Gothic"/>
          <w:u w:color="000000"/>
          <w:rtl w:val="0"/>
          <w:lang w:val="en-US"/>
        </w:rPr>
        <w:t xml:space="preserve"> document injuries/disease, or </w:t>
      </w:r>
      <w:r>
        <w:rPr>
          <w:rFonts w:ascii="Century Gothic" w:hAnsi="Century Gothic"/>
          <w:u w:color="000000"/>
          <w:rtl w:val="0"/>
          <w:lang w:val="en-US"/>
        </w:rPr>
        <w:t xml:space="preserve">to </w:t>
      </w:r>
      <w:r>
        <w:rPr>
          <w:rFonts w:ascii="Century Gothic" w:hAnsi="Century Gothic"/>
          <w:u w:color="000000"/>
          <w:rtl w:val="0"/>
          <w:lang w:val="fr-FR"/>
        </w:rPr>
        <w:t>collect</w:t>
      </w:r>
    </w:p>
    <w:p>
      <w:pPr>
        <w:pStyle w:val="Body"/>
        <w:bidi w:val="0"/>
        <w:spacing w:after="0" w:line="360" w:lineRule="auto"/>
        <w:ind w:left="0" w:right="0" w:firstLine="720"/>
        <w:jc w:val="left"/>
        <w:rPr>
          <w:rFonts w:ascii="Century Gothic" w:cs="Century Gothic" w:hAnsi="Century Gothic" w:eastAsia="Century Gothic"/>
          <w:u w:color="000000"/>
          <w:rtl w:val="0"/>
        </w:rPr>
      </w:pPr>
      <w:r>
        <w:rPr>
          <w:rFonts w:ascii="Century Gothic" w:hAnsi="Century Gothic"/>
          <w:u w:color="000000"/>
          <w:rtl w:val="0"/>
          <w:lang w:val="en-US"/>
        </w:rPr>
        <w:t>e</w:t>
      </w:r>
      <w:r>
        <w:rPr>
          <w:rFonts w:ascii="Century Gothic" w:hAnsi="Century Gothic"/>
          <w:u w:color="000000"/>
          <w:rtl w:val="0"/>
          <w:lang w:val="pt-PT"/>
        </w:rPr>
        <w:t>vidence.</w:t>
      </w:r>
    </w:p>
    <w:p>
      <w:pPr>
        <w:pStyle w:val="Default"/>
        <w:numPr>
          <w:ilvl w:val="0"/>
          <w:numId w:val="6"/>
        </w:numPr>
        <w:spacing w:line="360" w:lineRule="auto"/>
        <w:jc w:val="left"/>
        <w:rPr>
          <w:rFonts w:ascii="Century Gothic" w:hAnsi="Century Gothic"/>
          <w:sz w:val="24"/>
          <w:szCs w:val="24"/>
          <w:u w:color="000000"/>
          <w:lang w:val="en-US"/>
        </w:rPr>
      </w:pPr>
      <w:r>
        <w:rPr>
          <w:rFonts w:ascii="Century Gothic" w:hAnsi="Century Gothic"/>
          <w:sz w:val="24"/>
          <w:szCs w:val="24"/>
          <w:u w:color="000000"/>
          <w:rtl w:val="0"/>
          <w:lang w:val="en-US"/>
        </w:rPr>
        <w:t>The deceased is involved in a motor vehicle incident and an autopsy is necessary to document injuries and/or determine the cause of death.</w:t>
      </w:r>
    </w:p>
    <w:p>
      <w:pPr>
        <w:pStyle w:val="Default"/>
        <w:spacing w:line="360" w:lineRule="auto"/>
        <w:jc w:val="left"/>
        <w:rPr>
          <w:rFonts w:ascii="Century Gothic" w:cs="Century Gothic" w:hAnsi="Century Gothic" w:eastAsia="Century Gothic"/>
          <w:sz w:val="24"/>
          <w:szCs w:val="24"/>
          <w:u w:color="000000"/>
          <w:lang w:val="en-US"/>
        </w:rPr>
      </w:pPr>
      <w:r>
        <w:rPr>
          <w:rFonts w:ascii="Century Gothic" w:cs="Century Gothic" w:hAnsi="Century Gothic" w:eastAsia="Century Gothic"/>
          <w:sz w:val="24"/>
          <w:szCs w:val="24"/>
          <w:u w:color="000000"/>
          <w:lang w:val="en-US"/>
        </w:rPr>
        <w:drawing xmlns:a="http://schemas.openxmlformats.org/drawingml/2006/main">
          <wp:anchor distT="152400" distB="152400" distL="152400" distR="152400" simplePos="0" relativeHeight="251662336" behindDoc="0" locked="0" layoutInCell="1" allowOverlap="1">
            <wp:simplePos x="0" y="0"/>
            <wp:positionH relativeFrom="margin">
              <wp:posOffset>-6350</wp:posOffset>
            </wp:positionH>
            <wp:positionV relativeFrom="line">
              <wp:posOffset>285750</wp:posOffset>
            </wp:positionV>
            <wp:extent cx="6400800" cy="3412348"/>
            <wp:effectExtent l="0" t="0" r="0" b="0"/>
            <wp:wrapTopAndBottom distT="152400" distB="152400"/>
            <wp:docPr id="1073741837" name="officeArt object" descr="Image"/>
            <wp:cNvGraphicFramePr/>
            <a:graphic xmlns:a="http://schemas.openxmlformats.org/drawingml/2006/main">
              <a:graphicData uri="http://schemas.openxmlformats.org/drawingml/2006/picture">
                <pic:pic xmlns:pic="http://schemas.openxmlformats.org/drawingml/2006/picture">
                  <pic:nvPicPr>
                    <pic:cNvPr id="1073741837" name="Image" descr="Image"/>
                    <pic:cNvPicPr>
                      <a:picLocks noChangeAspect="1"/>
                    </pic:cNvPicPr>
                  </pic:nvPicPr>
                  <pic:blipFill>
                    <a:blip r:embed="rId14">
                      <a:extLst/>
                    </a:blip>
                    <a:stretch>
                      <a:fillRect/>
                    </a:stretch>
                  </pic:blipFill>
                  <pic:spPr>
                    <a:xfrm>
                      <a:off x="0" y="0"/>
                      <a:ext cx="6400800" cy="3412348"/>
                    </a:xfrm>
                    <a:prstGeom prst="rect">
                      <a:avLst/>
                    </a:prstGeom>
                    <a:ln w="12700" cap="flat">
                      <a:noFill/>
                      <a:miter lim="400000"/>
                    </a:ln>
                    <a:effectLst/>
                  </pic:spPr>
                </pic:pic>
              </a:graphicData>
            </a:graphic>
          </wp:anchor>
        </w:drawing>
      </w:r>
    </w:p>
    <w:p>
      <w:pPr>
        <w:pStyle w:val="Default"/>
        <w:bidi w:val="0"/>
        <w:spacing w:line="360" w:lineRule="auto"/>
        <w:ind w:left="720" w:right="0" w:firstLine="0"/>
        <w:jc w:val="left"/>
        <w:rPr>
          <w:rtl w:val="0"/>
        </w:rPr>
      </w:pPr>
      <w:r>
        <w:rPr>
          <w:rFonts w:ascii="Arial Unicode MS" w:cs="Arial Unicode MS" w:hAnsi="Arial Unicode MS" w:eastAsia="Arial Unicode MS"/>
          <w:b w:val="0"/>
          <w:bCs w:val="0"/>
          <w:i w:val="0"/>
          <w:iCs w:val="0"/>
          <w:sz w:val="24"/>
          <w:szCs w:val="24"/>
          <w:u w:color="000000"/>
          <w:rtl w:val="0"/>
          <w:lang w:val="en-US"/>
        </w:rPr>
        <w:br w:type="page"/>
      </w:r>
    </w:p>
    <w:p>
      <w:pPr>
        <w:pStyle w:val="Body"/>
        <w:bidi w:val="0"/>
        <w:spacing w:after="0" w:line="360" w:lineRule="auto"/>
        <w:ind w:left="0" w:right="0" w:firstLine="0"/>
        <w:jc w:val="left"/>
        <w:rPr>
          <w:rFonts w:ascii="Microsoft Sans Serif" w:cs="Microsoft Sans Serif" w:hAnsi="Microsoft Sans Serif" w:eastAsia="Microsoft Sans Serif"/>
          <w:outline w:val="0"/>
          <w:color w:val="216cff"/>
          <w:sz w:val="48"/>
          <w:szCs w:val="48"/>
          <w:u w:color="000000"/>
          <w:rtl w:val="0"/>
          <w14:textFill>
            <w14:solidFill>
              <w14:srgbClr w14:val="226DFF"/>
            </w14:solidFill>
          </w14:textFill>
        </w:rPr>
      </w:pPr>
      <w:r>
        <w:rPr>
          <w:b w:val="1"/>
          <w:bCs w:val="1"/>
          <w:outline w:val="0"/>
          <w:color w:val="216cff"/>
          <w:sz w:val="48"/>
          <w:szCs w:val="48"/>
          <w:u w:color="000000"/>
          <w:rtl w:val="0"/>
          <w:lang w:val="de-DE"/>
          <w14:textFill>
            <w14:solidFill>
              <w14:srgbClr w14:val="226DFF"/>
            </w14:solidFill>
          </w14:textFill>
        </w:rPr>
        <w:t>MANNER OF DEATH</w:t>
      </w:r>
    </w:p>
    <w:p>
      <w:pPr>
        <w:pStyle w:val="Body"/>
        <w:keepNext w:val="1"/>
        <w:keepLines w:val="0"/>
        <w:pageBreakBefore w:val="0"/>
        <w:framePr w:hSpace="0" w:hAnchor="text" w:vAnchor="text" w:wrap="around" w:dropCap="drop" w:lines="3"/>
        <w:widowControl w:val="1"/>
        <w:pBdr>
          <w:bottom w:val="nil"/>
          <w:right w:val="nil"/>
        </w:pBdr>
        <w:shd w:val="clear" w:color="auto" w:fill="auto"/>
        <w:suppressAutoHyphens w:val="0"/>
        <w:bidi w:val="0"/>
        <w:spacing w:before="0" w:after="0" w:line="1222" w:lineRule="exact"/>
        <w:ind w:left="0" w:right="0" w:firstLine="0"/>
        <w:jc w:val="left"/>
        <w:outlineLvl w:val="9"/>
        <w:textAlignment w:val="baseline"/>
        <w:rPr>
          <w:rtl w:val="0"/>
        </w:rPr>
      </w:pPr>
      <w:r>
        <w:rPr>
          <w:rFonts w:ascii="Graphik" w:cs="Graphik" w:hAnsi="Graphik" w:eastAsia="Graphik"/>
          <w:b w:val="0"/>
          <w:bCs w:val="0"/>
          <w:i w:val="0"/>
          <w:iCs w:val="0"/>
          <w:caps w:val="0"/>
          <w:smallCaps w:val="0"/>
          <w:strike w:val="0"/>
          <w:dstrike w:val="0"/>
          <w:outline w:val="0"/>
          <w:color w:val="000000"/>
          <w:spacing w:val="0"/>
          <w:kern w:val="0"/>
          <w:position w:val="-6"/>
          <w:sz w:val="138"/>
          <w:szCs w:val="138"/>
          <w:u w:val="none" w:color="000000"/>
          <w:shd w:val="nil" w:color="auto" w:fill="auto"/>
          <w:vertAlign w:val="baseline"/>
          <w:rtl w:val="0"/>
          <w14:textOutline>
            <w14:noFill/>
          </w14:textOutline>
          <w14:textFill>
            <w14:solidFill>
              <w14:srgbClr w14:val="000000"/>
            </w14:solidFill>
          </w14:textFill>
        </w:rPr>
        <w:t>T</w:t>
      </w:r>
    </w:p>
    <w:p>
      <w:pPr>
        <w:pStyle w:val="Body"/>
        <w:bidi w:val="0"/>
        <w:spacing w:after="0" w:line="360" w:lineRule="auto"/>
        <w:ind w:left="0" w:right="0" w:firstLine="0"/>
        <w:jc w:val="left"/>
        <w:rPr>
          <w:rFonts w:ascii="Microsoft Sans Serif" w:cs="Microsoft Sans Serif" w:hAnsi="Microsoft Sans Serif" w:eastAsia="Microsoft Sans Serif"/>
          <w:u w:color="000000"/>
          <w:rtl w:val="0"/>
        </w:rPr>
      </w:pPr>
      <w:r>
        <w:rPr>
          <w:rFonts w:ascii="Microsoft Sans Serif" w:hAnsi="Microsoft Sans Serif"/>
          <w:u w:color="000000"/>
          <w:rtl w:val="0"/>
          <w:lang w:val="en-US"/>
        </w:rPr>
        <w:t>he state of Colorado recognizes five classifications of manner of death.  They are:  Natural, Suicide, Accidental, Homicide, and Undetermined.  A death is classified as one of these based on the circumstances surrounding the death and how that cause came to be.  Determining manner of death is one of the main responsibilities of the Pueblo County Coroner</w:t>
      </w:r>
      <w:r>
        <w:rPr>
          <w:rFonts w:ascii="Microsoft Sans Serif" w:hAnsi="Microsoft Sans Serif" w:hint="default"/>
          <w:u w:color="000000"/>
          <w:rtl w:val="1"/>
        </w:rPr>
        <w:t>’</w:t>
      </w:r>
      <w:r>
        <w:rPr>
          <w:rFonts w:ascii="Microsoft Sans Serif" w:hAnsi="Microsoft Sans Serif"/>
          <w:u w:color="000000"/>
          <w:rtl w:val="0"/>
          <w:lang w:val="en-US"/>
        </w:rPr>
        <w:t>s Office and is one of the items that must be reported on the death certificate.</w:t>
      </w:r>
    </w:p>
    <w:p>
      <w:pPr>
        <w:pStyle w:val="Body"/>
        <w:bidi w:val="0"/>
        <w:spacing w:after="0" w:line="360" w:lineRule="auto"/>
        <w:ind w:left="0" w:right="0" w:firstLine="0"/>
        <w:jc w:val="left"/>
        <w:rPr>
          <w:rFonts w:ascii="Microsoft Sans Serif" w:cs="Microsoft Sans Serif" w:hAnsi="Microsoft Sans Serif" w:eastAsia="Microsoft Sans Serif"/>
          <w:u w:color="000000"/>
          <w:rtl w:val="0"/>
        </w:rPr>
      </w:pPr>
      <w:r>
        <w:rPr>
          <w:rFonts w:ascii="Microsoft Sans Serif" w:cs="Microsoft Sans Serif" w:hAnsi="Microsoft Sans Serif" w:eastAsia="Microsoft Sans Serif"/>
          <w:u w:color="000000"/>
          <w:rtl w:val="0"/>
        </w:rPr>
        <w:drawing xmlns:a="http://schemas.openxmlformats.org/drawingml/2006/main">
          <wp:anchor distT="0" distB="0" distL="152400" distR="152400" simplePos="0" relativeHeight="251661312" behindDoc="0" locked="0" layoutInCell="1" allowOverlap="1">
            <wp:simplePos x="0" y="0"/>
            <wp:positionH relativeFrom="margin">
              <wp:posOffset>966039</wp:posOffset>
            </wp:positionH>
            <wp:positionV relativeFrom="line">
              <wp:posOffset>1115111</wp:posOffset>
            </wp:positionV>
            <wp:extent cx="6206080" cy="5497325"/>
            <wp:effectExtent l="0" t="0" r="0" b="0"/>
            <wp:wrapTopAndBottom distT="0" distB="0"/>
            <wp:docPr id="1073741838" name="officeArt object"/>
            <wp:cNvGraphicFramePr/>
            <a:graphic xmlns:a="http://schemas.openxmlformats.org/drawingml/2006/main">
              <a:graphicData uri="http://schemas.openxmlformats.org/drawingml/2006/chart">
                <c:chart xmlns:c="http://schemas.openxmlformats.org/drawingml/2006/chart" r:id="rId15"/>
              </a:graphicData>
            </a:graphic>
          </wp:anchor>
        </w:drawing>
      </w:r>
    </w:p>
    <w:p>
      <w:pPr>
        <w:pStyle w:val="Body"/>
        <w:bidi w:val="0"/>
        <w:spacing w:after="0" w:line="360" w:lineRule="auto"/>
        <w:ind w:left="0" w:right="0" w:firstLine="0"/>
        <w:jc w:val="left"/>
        <w:rPr>
          <w:rFonts w:ascii="Arial Black" w:cs="Arial Black" w:hAnsi="Arial Black" w:eastAsia="Arial Black"/>
          <w:outline w:val="0"/>
          <w:color w:val="fe00d2"/>
          <w:sz w:val="28"/>
          <w:szCs w:val="28"/>
          <w:u w:color="000000"/>
          <w:rtl w:val="0"/>
          <w14:textFill>
            <w14:solidFill>
              <w14:srgbClr w14:val="FF00D3"/>
            </w14:solidFill>
          </w14:textFill>
        </w:rPr>
      </w:pPr>
      <w:r>
        <w:rPr>
          <w:rFonts w:ascii="Arial Black" w:hAnsi="Arial Black"/>
          <w:outline w:val="0"/>
          <w:color w:val="fe00d2"/>
          <w:sz w:val="28"/>
          <w:szCs w:val="28"/>
          <w:u w:color="000000"/>
          <w:rtl w:val="0"/>
          <w:lang w:val="en-US"/>
          <w14:textFill>
            <w14:solidFill>
              <w14:srgbClr w14:val="FF00D3"/>
            </w14:solidFill>
          </w14:textFill>
        </w:rPr>
        <w:t>DETAILED BREAKDOWN OF MANNER</w:t>
      </w:r>
    </w:p>
    <w:p>
      <w:pPr>
        <w:pStyle w:val="Body"/>
        <w:bidi w:val="0"/>
        <w:spacing w:after="0" w:line="360" w:lineRule="auto"/>
        <w:ind w:left="0" w:right="0" w:firstLine="0"/>
        <w:jc w:val="left"/>
        <w:rPr>
          <w:rFonts w:ascii="Microsoft Sans Serif" w:cs="Microsoft Sans Serif" w:hAnsi="Microsoft Sans Serif" w:eastAsia="Microsoft Sans Serif"/>
          <w:u w:color="000000"/>
          <w:rtl w:val="0"/>
        </w:rPr>
      </w:pPr>
    </w:p>
    <w:p>
      <w:pPr>
        <w:pStyle w:val="Body"/>
        <w:bidi w:val="0"/>
        <w:spacing w:after="0" w:line="360" w:lineRule="auto"/>
        <w:ind w:left="0" w:right="0" w:firstLine="0"/>
        <w:jc w:val="left"/>
        <w:rPr>
          <w:b w:val="1"/>
          <w:bCs w:val="1"/>
          <w:outline w:val="0"/>
          <w:color w:val="216cff"/>
          <w:sz w:val="48"/>
          <w:szCs w:val="48"/>
          <w:u w:color="000000"/>
          <w:rtl w:val="0"/>
          <w14:textFill>
            <w14:solidFill>
              <w14:srgbClr w14:val="226DFF"/>
            </w14:solidFill>
          </w14:textFill>
        </w:rPr>
      </w:pPr>
      <w:r>
        <w:rPr>
          <w:b w:val="1"/>
          <w:bCs w:val="1"/>
          <w:outline w:val="0"/>
          <w:color w:val="216cff"/>
          <w:sz w:val="48"/>
          <w:szCs w:val="48"/>
          <w:u w:color="000000"/>
          <w:rtl w:val="0"/>
          <w:lang w:val="de-DE"/>
          <w14:textFill>
            <w14:solidFill>
              <w14:srgbClr w14:val="226DFF"/>
            </w14:solidFill>
          </w14:textFill>
        </w:rPr>
        <w:t>NATURAL DEATHS</w:t>
      </w:r>
      <w:r>
        <w:rPr>
          <w:b w:val="1"/>
          <w:bCs w:val="1"/>
          <w:outline w:val="0"/>
          <w:color w:val="216cff"/>
          <w:sz w:val="48"/>
          <w:szCs w:val="48"/>
          <w:u w:color="000000"/>
          <w:rtl w:val="0"/>
          <w14:textFill>
            <w14:solidFill>
              <w14:srgbClr w14:val="226DFF"/>
            </w14:solidFill>
          </w14:textFill>
        </w:rPr>
        <w:drawing xmlns:a="http://schemas.openxmlformats.org/drawingml/2006/main">
          <wp:anchor distT="152400" distB="152400" distL="152400" distR="152400" simplePos="0" relativeHeight="251664384" behindDoc="0" locked="0" layoutInCell="1" allowOverlap="1">
            <wp:simplePos x="0" y="0"/>
            <wp:positionH relativeFrom="margin">
              <wp:posOffset>2048065</wp:posOffset>
            </wp:positionH>
            <wp:positionV relativeFrom="line">
              <wp:posOffset>544682</wp:posOffset>
            </wp:positionV>
            <wp:extent cx="2438287" cy="2285894"/>
            <wp:effectExtent l="0" t="0" r="0" b="0"/>
            <wp:wrapThrough wrapText="bothSides" distL="152400" distR="152400">
              <wp:wrapPolygon edited="1">
                <wp:start x="0" y="0"/>
                <wp:lineTo x="21600" y="0"/>
                <wp:lineTo x="21600" y="21600"/>
                <wp:lineTo x="0" y="21600"/>
                <wp:lineTo x="0" y="0"/>
              </wp:wrapPolygon>
            </wp:wrapThrough>
            <wp:docPr id="1073741839" name="officeArt object" descr="Image"/>
            <wp:cNvGraphicFramePr/>
            <a:graphic xmlns:a="http://schemas.openxmlformats.org/drawingml/2006/main">
              <a:graphicData uri="http://schemas.openxmlformats.org/drawingml/2006/picture">
                <pic:pic xmlns:pic="http://schemas.openxmlformats.org/drawingml/2006/picture">
                  <pic:nvPicPr>
                    <pic:cNvPr id="1073741839" name="Image" descr="Image"/>
                    <pic:cNvPicPr>
                      <a:picLocks noChangeAspect="1"/>
                    </pic:cNvPicPr>
                  </pic:nvPicPr>
                  <pic:blipFill>
                    <a:blip r:embed="rId16">
                      <a:extLst/>
                    </a:blip>
                    <a:stretch>
                      <a:fillRect/>
                    </a:stretch>
                  </pic:blipFill>
                  <pic:spPr>
                    <a:xfrm>
                      <a:off x="0" y="0"/>
                      <a:ext cx="2438287" cy="2285894"/>
                    </a:xfrm>
                    <a:prstGeom prst="rect">
                      <a:avLst/>
                    </a:prstGeom>
                    <a:ln w="12700" cap="flat">
                      <a:noFill/>
                      <a:miter lim="400000"/>
                    </a:ln>
                    <a:effectLst/>
                  </pic:spPr>
                </pic:pic>
              </a:graphicData>
            </a:graphic>
          </wp:anchor>
        </w:drawing>
      </w:r>
    </w:p>
    <w:p>
      <w:pPr>
        <w:pStyle w:val="Body"/>
        <w:bidi w:val="0"/>
        <w:spacing w:after="0" w:line="360" w:lineRule="auto"/>
        <w:ind w:left="0" w:right="0" w:firstLine="0"/>
        <w:jc w:val="center"/>
        <w:rPr>
          <w:rFonts w:ascii="Century Gothic" w:cs="Century Gothic" w:hAnsi="Century Gothic" w:eastAsia="Century Gothic"/>
          <w:b w:val="1"/>
          <w:bCs w:val="1"/>
          <w:outline w:val="0"/>
          <w:color w:val="216cff"/>
          <w:sz w:val="48"/>
          <w:szCs w:val="48"/>
          <w:u w:color="000000"/>
          <w:rtl w:val="0"/>
          <w14:textFill>
            <w14:solidFill>
              <w14:srgbClr w14:val="226DFF"/>
            </w14:solidFill>
          </w14:textFill>
        </w:rPr>
      </w:pPr>
    </w:p>
    <w:p>
      <w:pPr>
        <w:pStyle w:val="Body"/>
        <w:bidi w:val="0"/>
        <w:spacing w:after="0" w:line="360" w:lineRule="auto"/>
        <w:ind w:left="0" w:right="0" w:firstLine="0"/>
        <w:jc w:val="left"/>
        <w:rPr>
          <w:rFonts w:ascii="Century Gothic" w:cs="Century Gothic" w:hAnsi="Century Gothic" w:eastAsia="Century Gothic"/>
          <w:b w:val="1"/>
          <w:bCs w:val="1"/>
          <w:sz w:val="48"/>
          <w:szCs w:val="48"/>
          <w:u w:color="000000"/>
          <w:rtl w:val="0"/>
        </w:rPr>
      </w:pPr>
      <w:r>
        <w:drawing xmlns:a="http://schemas.openxmlformats.org/drawingml/2006/main">
          <wp:inline distT="0" distB="0" distL="0" distR="0">
            <wp:extent cx="6548121" cy="3882127"/>
            <wp:effectExtent l="0" t="0" r="0" b="0"/>
            <wp:docPr id="1073741840" name="officeArt object"/>
            <wp:cNvGraphicFramePr/>
            <a:graphic xmlns:a="http://schemas.openxmlformats.org/drawingml/2006/main">
              <a:graphicData uri="http://schemas.openxmlformats.org/drawingml/2006/chart">
                <c:chart xmlns:c="http://schemas.openxmlformats.org/drawingml/2006/chart" r:id="rId17"/>
              </a:graphicData>
            </a:graphic>
          </wp:inline>
        </w:drawing>
      </w:r>
    </w:p>
    <w:p>
      <w:pPr>
        <w:pStyle w:val="Body"/>
        <w:bidi w:val="0"/>
        <w:spacing w:after="0" w:line="360" w:lineRule="auto"/>
        <w:ind w:left="0" w:right="0" w:firstLine="0"/>
        <w:jc w:val="center"/>
        <w:rPr>
          <w:rFonts w:ascii="Century Gothic" w:cs="Century Gothic" w:hAnsi="Century Gothic" w:eastAsia="Century Gothic"/>
          <w:b w:val="1"/>
          <w:bCs w:val="1"/>
          <w:u w:color="000000"/>
          <w:rtl w:val="0"/>
        </w:rPr>
      </w:pPr>
    </w:p>
    <w:p>
      <w:pPr>
        <w:pStyle w:val="Body"/>
        <w:bidi w:val="0"/>
        <w:spacing w:after="180" w:line="336" w:lineRule="auto"/>
        <w:ind w:left="0" w:right="0" w:firstLine="0"/>
        <w:jc w:val="left"/>
        <w:rPr>
          <w:b w:val="1"/>
          <w:bCs w:val="1"/>
          <w:outline w:val="0"/>
          <w:color w:val="000000"/>
          <w:sz w:val="48"/>
          <w:szCs w:val="48"/>
          <w:u w:color="000000"/>
          <w:rtl w:val="0"/>
          <w14:textFill>
            <w14:solidFill>
              <w14:srgbClr w14:val="000000"/>
            </w14:solidFill>
          </w14:textFill>
        </w:rPr>
      </w:pPr>
      <w:r>
        <w:rPr>
          <w:b w:val="1"/>
          <w:bCs w:val="1"/>
          <w:outline w:val="0"/>
          <w:color w:val="000000"/>
          <w:sz w:val="48"/>
          <w:szCs w:val="48"/>
          <w:u w:color="000000"/>
          <w:rtl w:val="0"/>
          <w:lang w:val="en-US"/>
          <w14:textFill>
            <w14:solidFill>
              <w14:srgbClr w14:val="000000"/>
            </w14:solidFill>
          </w14:textFill>
        </w:rPr>
        <w:t>SUICIDE DEATHS</w:t>
      </w:r>
    </w:p>
    <w:p>
      <w:pPr>
        <w:pStyle w:val="Body"/>
        <w:bidi w:val="0"/>
        <w:spacing w:after="180" w:line="336" w:lineRule="auto"/>
        <w:ind w:left="0" w:right="0" w:firstLine="0"/>
        <w:jc w:val="left"/>
        <w:rPr>
          <w:rFonts w:ascii="Century Gothic" w:cs="Century Gothic" w:hAnsi="Century Gothic" w:eastAsia="Century Gothic"/>
          <w:b w:val="1"/>
          <w:bCs w:val="1"/>
          <w:outline w:val="0"/>
          <w:color w:val="b7000b"/>
          <w:sz w:val="48"/>
          <w:szCs w:val="48"/>
          <w:u w:color="000000"/>
          <w:rtl w:val="0"/>
          <w14:textFill>
            <w14:solidFill>
              <w14:srgbClr w14:val="B8000B"/>
            </w14:solidFill>
          </w14:textFill>
        </w:rPr>
      </w:pPr>
      <w:r>
        <w:drawing xmlns:a="http://schemas.openxmlformats.org/drawingml/2006/main">
          <wp:inline distT="0" distB="0" distL="0" distR="0">
            <wp:extent cx="6567799" cy="3716759"/>
            <wp:effectExtent l="0" t="0" r="0" b="0"/>
            <wp:docPr id="1073741841" name="officeArt object"/>
            <wp:cNvGraphicFramePr/>
            <a:graphic xmlns:a="http://schemas.openxmlformats.org/drawingml/2006/main">
              <a:graphicData uri="http://schemas.openxmlformats.org/drawingml/2006/chart">
                <c:chart xmlns:c="http://schemas.openxmlformats.org/drawingml/2006/chart" r:id="rId18"/>
              </a:graphicData>
            </a:graphic>
          </wp:inline>
        </w:drawing>
      </w:r>
    </w:p>
    <w:p>
      <w:pPr>
        <w:pStyle w:val="Body"/>
        <w:bidi w:val="0"/>
        <w:spacing w:after="180" w:line="336" w:lineRule="auto"/>
        <w:ind w:left="0" w:right="0" w:firstLine="0"/>
        <w:jc w:val="left"/>
        <w:rPr>
          <w:rFonts w:ascii="Century Gothic" w:cs="Century Gothic" w:hAnsi="Century Gothic" w:eastAsia="Century Gothic"/>
          <w:outline w:val="0"/>
          <w:color w:val="b7000b"/>
          <w:sz w:val="48"/>
          <w:szCs w:val="48"/>
          <w:u w:color="000000"/>
          <w:rtl w:val="0"/>
          <w14:textFill>
            <w14:solidFill>
              <w14:srgbClr w14:val="B8000B"/>
            </w14:solidFill>
          </w14:textFill>
        </w:rPr>
      </w:pPr>
      <w:r>
        <w:drawing xmlns:a="http://schemas.openxmlformats.org/drawingml/2006/main">
          <wp:inline distT="0" distB="0" distL="0" distR="0">
            <wp:extent cx="6475819" cy="3130998"/>
            <wp:effectExtent l="0" t="0" r="0" b="0"/>
            <wp:docPr id="1073741842" name="officeArt object"/>
            <wp:cNvGraphicFramePr/>
            <a:graphic xmlns:a="http://schemas.openxmlformats.org/drawingml/2006/main">
              <a:graphicData uri="http://schemas.openxmlformats.org/drawingml/2006/chart">
                <c:chart xmlns:c="http://schemas.openxmlformats.org/drawingml/2006/chart" r:id="rId19"/>
              </a:graphicData>
            </a:graphic>
          </wp:inline>
        </w:drawing>
      </w:r>
    </w:p>
    <w:p>
      <w:pPr>
        <w:pStyle w:val="Body"/>
        <w:bidi w:val="0"/>
        <w:spacing w:after="180" w:line="336" w:lineRule="auto"/>
        <w:ind w:left="0" w:right="0" w:firstLine="0"/>
        <w:jc w:val="left"/>
        <w:rPr>
          <w:rFonts w:ascii="Century Gothic" w:cs="Century Gothic" w:hAnsi="Century Gothic" w:eastAsia="Century Gothic"/>
          <w:sz w:val="48"/>
          <w:szCs w:val="48"/>
          <w:u w:color="000000"/>
          <w:rtl w:val="0"/>
        </w:rPr>
      </w:pPr>
    </w:p>
    <w:p>
      <w:pPr>
        <w:pStyle w:val="Body"/>
        <w:bidi w:val="0"/>
        <w:spacing w:after="180" w:line="336" w:lineRule="auto"/>
        <w:ind w:left="0" w:right="0" w:firstLine="0"/>
        <w:jc w:val="left"/>
        <w:rPr>
          <w:rFonts w:ascii="Century Gothic" w:cs="Century Gothic" w:hAnsi="Century Gothic" w:eastAsia="Century Gothic"/>
          <w:sz w:val="48"/>
          <w:szCs w:val="48"/>
          <w:u w:color="000000"/>
          <w:rtl w:val="0"/>
        </w:rPr>
      </w:pPr>
      <w:r>
        <w:drawing xmlns:a="http://schemas.openxmlformats.org/drawingml/2006/main">
          <wp:inline distT="0" distB="0" distL="0" distR="0">
            <wp:extent cx="6490570" cy="3527807"/>
            <wp:effectExtent l="0" t="0" r="0" b="0"/>
            <wp:docPr id="1073741843" name="officeArt object"/>
            <wp:cNvGraphicFramePr/>
            <a:graphic xmlns:a="http://schemas.openxmlformats.org/drawingml/2006/main">
              <a:graphicData uri="http://schemas.openxmlformats.org/drawingml/2006/chart">
                <c:chart xmlns:c="http://schemas.openxmlformats.org/drawingml/2006/chart" r:id="rId20"/>
              </a:graphicData>
            </a:graphic>
          </wp:inline>
        </w:drawing>
      </w:r>
    </w:p>
    <w:p>
      <w:pPr>
        <w:pStyle w:val="Body"/>
        <w:bidi w:val="0"/>
        <w:spacing w:after="180" w:line="240" w:lineRule="auto"/>
        <w:ind w:left="0" w:right="0" w:firstLine="0"/>
        <w:jc w:val="left"/>
        <w:rPr>
          <w:rFonts w:ascii="Graphik" w:cs="Graphik" w:hAnsi="Graphik" w:eastAsia="Graphik"/>
          <w:sz w:val="28"/>
          <w:szCs w:val="28"/>
          <w:u w:color="000000"/>
          <w:rtl w:val="0"/>
        </w:rPr>
      </w:pPr>
      <w:r>
        <w:rPr>
          <w:rFonts w:ascii="Graphik" w:hAnsi="Graphik"/>
          <w:sz w:val="28"/>
          <w:szCs w:val="28"/>
          <w:u w:color="000000"/>
          <w:rtl w:val="0"/>
          <w:lang w:val="en-US"/>
        </w:rPr>
        <w:t xml:space="preserve">While suicides historically occur primarily with males over the age of 30 years, in 2021 Pueblo County lost four males under the age of 18; one involved a hanging and three involved a handgun.  Pueblo County also saw an increase in both younger males (18-50 yrs) and older males (80-89 yrs). </w:t>
      </w:r>
    </w:p>
    <w:p>
      <w:pPr>
        <w:pStyle w:val="Body"/>
        <w:bidi w:val="0"/>
        <w:spacing w:after="180" w:line="240" w:lineRule="auto"/>
        <w:ind w:left="0" w:right="0" w:firstLine="0"/>
        <w:jc w:val="left"/>
        <w:rPr>
          <w:rFonts w:ascii="Century Gothic" w:cs="Century Gothic" w:hAnsi="Century Gothic" w:eastAsia="Century Gothic"/>
          <w:sz w:val="48"/>
          <w:szCs w:val="48"/>
          <w:u w:color="000000"/>
          <w:rtl w:val="0"/>
        </w:rPr>
      </w:pPr>
      <w:r>
        <w:rPr>
          <w:rFonts w:ascii="Century Gothic" w:cs="Century Gothic" w:hAnsi="Century Gothic" w:eastAsia="Century Gothic"/>
          <w:sz w:val="48"/>
          <w:szCs w:val="48"/>
          <w:u w:color="000000"/>
          <w:rtl w:val="0"/>
        </w:rPr>
        <w:drawing xmlns:a="http://schemas.openxmlformats.org/drawingml/2006/main">
          <wp:anchor distT="152400" distB="152400" distL="152400" distR="152400" simplePos="0" relativeHeight="251666432" behindDoc="0" locked="0" layoutInCell="1" allowOverlap="1">
            <wp:simplePos x="0" y="0"/>
            <wp:positionH relativeFrom="margin">
              <wp:posOffset>782187</wp:posOffset>
            </wp:positionH>
            <wp:positionV relativeFrom="line">
              <wp:posOffset>424681</wp:posOffset>
            </wp:positionV>
            <wp:extent cx="4823726" cy="2726454"/>
            <wp:effectExtent l="0" t="0" r="0" b="0"/>
            <wp:wrapThrough wrapText="bothSides" distL="152400" distR="152400">
              <wp:wrapPolygon edited="1">
                <wp:start x="0" y="0"/>
                <wp:lineTo x="21600" y="0"/>
                <wp:lineTo x="21600" y="21600"/>
                <wp:lineTo x="0" y="21600"/>
                <wp:lineTo x="0" y="0"/>
              </wp:wrapPolygon>
            </wp:wrapThrough>
            <wp:docPr id="1073741844" name="officeArt object" descr="Image"/>
            <wp:cNvGraphicFramePr/>
            <a:graphic xmlns:a="http://schemas.openxmlformats.org/drawingml/2006/main">
              <a:graphicData uri="http://schemas.openxmlformats.org/drawingml/2006/picture">
                <pic:pic xmlns:pic="http://schemas.openxmlformats.org/drawingml/2006/picture">
                  <pic:nvPicPr>
                    <pic:cNvPr id="1073741844" name="Image" descr="Image"/>
                    <pic:cNvPicPr>
                      <a:picLocks noChangeAspect="1"/>
                    </pic:cNvPicPr>
                  </pic:nvPicPr>
                  <pic:blipFill>
                    <a:blip r:embed="rId21">
                      <a:extLst/>
                    </a:blip>
                    <a:stretch>
                      <a:fillRect/>
                    </a:stretch>
                  </pic:blipFill>
                  <pic:spPr>
                    <a:xfrm>
                      <a:off x="0" y="0"/>
                      <a:ext cx="4823726" cy="2726454"/>
                    </a:xfrm>
                    <a:prstGeom prst="rect">
                      <a:avLst/>
                    </a:prstGeom>
                    <a:ln w="12700" cap="flat">
                      <a:noFill/>
                      <a:miter lim="400000"/>
                    </a:ln>
                    <a:effectLst/>
                  </pic:spPr>
                </pic:pic>
              </a:graphicData>
            </a:graphic>
          </wp:anchor>
        </w:drawing>
      </w:r>
    </w:p>
    <w:p>
      <w:pPr>
        <w:pStyle w:val="Body"/>
        <w:bidi w:val="0"/>
        <w:spacing w:after="180" w:line="336" w:lineRule="auto"/>
        <w:ind w:left="0" w:right="0" w:firstLine="0"/>
        <w:jc w:val="left"/>
        <w:rPr>
          <w:rFonts w:ascii="Century Gothic" w:cs="Century Gothic" w:hAnsi="Century Gothic" w:eastAsia="Century Gothic"/>
          <w:sz w:val="48"/>
          <w:szCs w:val="48"/>
          <w:u w:color="000000"/>
          <w:rtl w:val="0"/>
        </w:rPr>
      </w:pPr>
    </w:p>
    <w:p>
      <w:pPr>
        <w:pStyle w:val="Body"/>
        <w:bidi w:val="0"/>
        <w:spacing w:after="180" w:line="336" w:lineRule="auto"/>
        <w:ind w:left="0" w:right="0" w:firstLine="0"/>
        <w:jc w:val="left"/>
        <w:rPr>
          <w:rtl w:val="0"/>
        </w:rPr>
      </w:pPr>
      <w:r>
        <w:rPr>
          <w:rFonts w:ascii="Arial Unicode MS" w:cs="Arial Unicode MS" w:hAnsi="Arial Unicode MS" w:eastAsia="Arial Unicode MS"/>
          <w:b w:val="0"/>
          <w:bCs w:val="0"/>
          <w:i w:val="0"/>
          <w:iCs w:val="0"/>
          <w:sz w:val="48"/>
          <w:szCs w:val="48"/>
          <w:u w:color="000000"/>
          <w:rtl w:val="0"/>
        </w:rPr>
        <w:br w:type="page"/>
      </w:r>
    </w:p>
    <w:p>
      <w:pPr>
        <w:pStyle w:val="Body"/>
        <w:bidi w:val="0"/>
        <w:spacing w:after="180" w:line="336" w:lineRule="auto"/>
        <w:ind w:left="0" w:right="0" w:firstLine="0"/>
        <w:jc w:val="left"/>
        <w:rPr>
          <w:rFonts w:ascii="Century Gothic" w:cs="Century Gothic" w:hAnsi="Century Gothic" w:eastAsia="Century Gothic"/>
          <w:b w:val="1"/>
          <w:bCs w:val="1"/>
          <w:outline w:val="0"/>
          <w:color w:val="216cff"/>
          <w:sz w:val="48"/>
          <w:szCs w:val="48"/>
          <w:u w:color="000000"/>
          <w:rtl w:val="0"/>
          <w14:textFill>
            <w14:solidFill>
              <w14:srgbClr w14:val="226DFF"/>
            </w14:solidFill>
          </w14:textFill>
        </w:rPr>
      </w:pPr>
      <w:r>
        <w:rPr>
          <w:b w:val="1"/>
          <w:bCs w:val="1"/>
          <w:outline w:val="0"/>
          <w:color w:val="216cff"/>
          <w:sz w:val="48"/>
          <w:szCs w:val="48"/>
          <w:u w:color="000000"/>
          <w:rtl w:val="0"/>
          <w:lang w:val="en-US"/>
          <w14:textFill>
            <w14:solidFill>
              <w14:srgbClr w14:val="226DFF"/>
            </w14:solidFill>
          </w14:textFill>
        </w:rPr>
        <w:t>ACCIDENTAL DEATHS</w:t>
      </w:r>
    </w:p>
    <w:p>
      <w:pPr>
        <w:pStyle w:val="Body"/>
        <w:bidi w:val="0"/>
        <w:spacing w:after="180" w:line="336" w:lineRule="auto"/>
        <w:ind w:left="0" w:right="0" w:firstLine="0"/>
        <w:jc w:val="left"/>
        <w:rPr>
          <w:rFonts w:ascii="Century Gothic" w:cs="Century Gothic" w:hAnsi="Century Gothic" w:eastAsia="Century Gothic"/>
          <w:b w:val="1"/>
          <w:bCs w:val="1"/>
          <w:sz w:val="48"/>
          <w:szCs w:val="48"/>
          <w:u w:color="000000"/>
          <w:rtl w:val="0"/>
        </w:rPr>
      </w:pPr>
      <w:r>
        <w:drawing xmlns:a="http://schemas.openxmlformats.org/drawingml/2006/main">
          <wp:inline distT="0" distB="0" distL="0" distR="0">
            <wp:extent cx="6598310" cy="3202898"/>
            <wp:effectExtent l="0" t="0" r="0" b="0"/>
            <wp:docPr id="1073741845" name="officeArt object"/>
            <wp:cNvGraphicFramePr/>
            <a:graphic xmlns:a="http://schemas.openxmlformats.org/drawingml/2006/main">
              <a:graphicData uri="http://schemas.openxmlformats.org/drawingml/2006/chart">
                <c:chart xmlns:c="http://schemas.openxmlformats.org/drawingml/2006/chart" r:id="rId22"/>
              </a:graphicData>
            </a:graphic>
          </wp:inline>
        </w:drawing>
      </w:r>
    </w:p>
    <w:p>
      <w:pPr>
        <w:pStyle w:val="Body"/>
        <w:bidi w:val="0"/>
        <w:spacing w:after="0" w:line="360" w:lineRule="auto"/>
        <w:ind w:left="0" w:right="0" w:firstLine="0"/>
        <w:jc w:val="left"/>
        <w:rPr>
          <w:rFonts w:ascii="Century Gothic" w:cs="Century Gothic" w:hAnsi="Century Gothic" w:eastAsia="Century Gothic"/>
          <w:sz w:val="48"/>
          <w:szCs w:val="48"/>
          <w:u w:color="000000"/>
          <w:rtl w:val="0"/>
        </w:rPr>
      </w:pPr>
      <w:r>
        <w:drawing xmlns:a="http://schemas.openxmlformats.org/drawingml/2006/main">
          <wp:inline distT="0" distB="0" distL="0" distR="0">
            <wp:extent cx="6476073" cy="3572738"/>
            <wp:effectExtent l="0" t="0" r="0" b="0"/>
            <wp:docPr id="1073741846" name="officeArt object"/>
            <wp:cNvGraphicFramePr/>
            <a:graphic xmlns:a="http://schemas.openxmlformats.org/drawingml/2006/main">
              <a:graphicData uri="http://schemas.openxmlformats.org/drawingml/2006/chart">
                <c:chart xmlns:c="http://schemas.openxmlformats.org/drawingml/2006/chart" r:id="rId23"/>
              </a:graphicData>
            </a:graphic>
          </wp:inline>
        </w:drawing>
      </w:r>
    </w:p>
    <w:p>
      <w:pPr>
        <w:pStyle w:val="Body"/>
        <w:bidi w:val="0"/>
        <w:spacing w:after="0" w:line="240" w:lineRule="auto"/>
        <w:ind w:left="0" w:right="0" w:firstLine="0"/>
        <w:jc w:val="left"/>
        <w:rPr>
          <w:rFonts w:ascii="Century Gothic" w:cs="Century Gothic" w:hAnsi="Century Gothic" w:eastAsia="Century Gothic"/>
          <w:sz w:val="48"/>
          <w:szCs w:val="48"/>
          <w:u w:color="000000"/>
          <w:rtl w:val="0"/>
        </w:rPr>
      </w:pPr>
      <w:r>
        <w:rPr>
          <w:sz w:val="30"/>
          <w:szCs w:val="30"/>
          <w:u w:color="000000"/>
          <w:rtl w:val="0"/>
          <w:lang w:val="en-US"/>
        </w:rPr>
        <w:t xml:space="preserve">Accidental deaths comprise the second largest population and can result from a myriad of causes.  As can be seen in the graph, overdoses account for the greatest number, with poly drug overdoses comprising the majority of this number.  Drug overdoses will be focused on later in this report.  The causal category of trauma is in itself varied with most being the result of a motor vehicle accident of some type.  The youngest victim of an accidental death was 1 day old while the oldest was 96 years.  Males comprise the largest population at 103 accidental deaths while females made up 50 of this deaths.       </w:t>
      </w:r>
    </w:p>
    <w:p>
      <w:pPr>
        <w:pStyle w:val="Body"/>
        <w:bidi w:val="0"/>
        <w:spacing w:after="0" w:line="240" w:lineRule="auto"/>
        <w:ind w:left="0" w:right="0" w:firstLine="0"/>
        <w:jc w:val="left"/>
        <w:rPr>
          <w:rFonts w:ascii="Century Gothic" w:cs="Century Gothic" w:hAnsi="Century Gothic" w:eastAsia="Century Gothic"/>
          <w:sz w:val="48"/>
          <w:szCs w:val="48"/>
          <w:u w:color="000000"/>
          <w:rtl w:val="0"/>
        </w:rPr>
      </w:pPr>
    </w:p>
    <w:p>
      <w:pPr>
        <w:pStyle w:val="Body"/>
        <w:bidi w:val="0"/>
        <w:spacing w:after="0" w:line="240" w:lineRule="auto"/>
        <w:ind w:left="0" w:right="0" w:firstLine="0"/>
        <w:jc w:val="left"/>
        <w:rPr>
          <w:rFonts w:ascii="Century Gothic" w:cs="Century Gothic" w:hAnsi="Century Gothic" w:eastAsia="Century Gothic"/>
          <w:sz w:val="48"/>
          <w:szCs w:val="48"/>
          <w:u w:color="000000"/>
          <w:rtl w:val="0"/>
        </w:rPr>
      </w:pPr>
    </w:p>
    <w:p>
      <w:pPr>
        <w:pStyle w:val="Body"/>
        <w:bidi w:val="0"/>
        <w:spacing w:after="0" w:line="240" w:lineRule="auto"/>
        <w:ind w:left="0" w:right="0" w:firstLine="0"/>
        <w:jc w:val="left"/>
        <w:rPr>
          <w:rFonts w:ascii="Century Gothic" w:cs="Century Gothic" w:hAnsi="Century Gothic" w:eastAsia="Century Gothic"/>
          <w:sz w:val="48"/>
          <w:szCs w:val="48"/>
          <w:u w:color="000000"/>
          <w:rtl w:val="0"/>
        </w:rPr>
      </w:pPr>
    </w:p>
    <w:p>
      <w:pPr>
        <w:pStyle w:val="Body"/>
        <w:bidi w:val="0"/>
        <w:spacing w:after="0" w:line="240" w:lineRule="auto"/>
        <w:ind w:left="0" w:right="0" w:firstLine="0"/>
        <w:jc w:val="left"/>
        <w:rPr>
          <w:rFonts w:ascii="Century Gothic" w:cs="Century Gothic" w:hAnsi="Century Gothic" w:eastAsia="Century Gothic"/>
          <w:sz w:val="48"/>
          <w:szCs w:val="48"/>
          <w:u w:color="000000"/>
          <w:rtl w:val="0"/>
        </w:rPr>
      </w:pPr>
    </w:p>
    <w:p>
      <w:pPr>
        <w:pStyle w:val="Body"/>
        <w:bidi w:val="0"/>
        <w:spacing w:after="0" w:line="240" w:lineRule="auto"/>
        <w:ind w:left="0" w:right="0" w:firstLine="0"/>
        <w:jc w:val="left"/>
        <w:rPr>
          <w:rFonts w:ascii="Century Gothic" w:cs="Century Gothic" w:hAnsi="Century Gothic" w:eastAsia="Century Gothic"/>
          <w:sz w:val="48"/>
          <w:szCs w:val="48"/>
          <w:u w:color="000000"/>
          <w:rtl w:val="0"/>
        </w:rPr>
      </w:pPr>
    </w:p>
    <w:p>
      <w:pPr>
        <w:pStyle w:val="Body"/>
        <w:bidi w:val="0"/>
        <w:spacing w:after="0" w:line="240" w:lineRule="auto"/>
        <w:ind w:left="0" w:right="0" w:firstLine="0"/>
        <w:jc w:val="left"/>
        <w:rPr>
          <w:rFonts w:ascii="Century Gothic" w:cs="Century Gothic" w:hAnsi="Century Gothic" w:eastAsia="Century Gothic"/>
          <w:sz w:val="48"/>
          <w:szCs w:val="48"/>
          <w:u w:color="000000"/>
          <w:rtl w:val="0"/>
        </w:rPr>
      </w:pPr>
    </w:p>
    <w:p>
      <w:pPr>
        <w:pStyle w:val="Body"/>
        <w:bidi w:val="0"/>
        <w:spacing w:after="0" w:line="240" w:lineRule="auto"/>
        <w:ind w:left="0" w:right="0" w:firstLine="0"/>
        <w:jc w:val="left"/>
        <w:rPr>
          <w:rFonts w:ascii="Century Gothic" w:cs="Century Gothic" w:hAnsi="Century Gothic" w:eastAsia="Century Gothic"/>
          <w:sz w:val="48"/>
          <w:szCs w:val="48"/>
          <w:u w:color="000000"/>
          <w:rtl w:val="0"/>
        </w:rPr>
      </w:pPr>
    </w:p>
    <w:p>
      <w:pPr>
        <w:pStyle w:val="Body"/>
        <w:bidi w:val="0"/>
        <w:spacing w:after="0" w:line="240" w:lineRule="auto"/>
        <w:ind w:left="0" w:right="0" w:firstLine="0"/>
        <w:jc w:val="left"/>
        <w:rPr>
          <w:rFonts w:ascii="Century Gothic" w:cs="Century Gothic" w:hAnsi="Century Gothic" w:eastAsia="Century Gothic"/>
          <w:sz w:val="48"/>
          <w:szCs w:val="48"/>
          <w:u w:color="000000"/>
          <w:rtl w:val="0"/>
        </w:rPr>
      </w:pPr>
    </w:p>
    <w:p>
      <w:pPr>
        <w:pStyle w:val="Body"/>
        <w:bidi w:val="0"/>
        <w:spacing w:after="0" w:line="240" w:lineRule="auto"/>
        <w:ind w:left="0" w:right="0" w:firstLine="0"/>
        <w:jc w:val="left"/>
        <w:rPr>
          <w:rFonts w:ascii="Century Gothic" w:cs="Century Gothic" w:hAnsi="Century Gothic" w:eastAsia="Century Gothic"/>
          <w:sz w:val="48"/>
          <w:szCs w:val="48"/>
          <w:u w:color="000000"/>
          <w:rtl w:val="0"/>
        </w:rPr>
      </w:pPr>
    </w:p>
    <w:p>
      <w:pPr>
        <w:pStyle w:val="Body"/>
        <w:bidi w:val="0"/>
        <w:spacing w:after="0" w:line="240" w:lineRule="auto"/>
        <w:ind w:left="0" w:right="0" w:firstLine="0"/>
        <w:jc w:val="left"/>
        <w:rPr>
          <w:rFonts w:ascii="Century Gothic" w:cs="Century Gothic" w:hAnsi="Century Gothic" w:eastAsia="Century Gothic"/>
          <w:sz w:val="48"/>
          <w:szCs w:val="48"/>
          <w:u w:color="000000"/>
          <w:rtl w:val="0"/>
        </w:rPr>
      </w:pPr>
    </w:p>
    <w:p>
      <w:pPr>
        <w:pStyle w:val="Body"/>
        <w:bidi w:val="0"/>
        <w:spacing w:after="0" w:line="240" w:lineRule="auto"/>
        <w:ind w:left="0" w:right="0" w:firstLine="0"/>
        <w:jc w:val="left"/>
        <w:rPr>
          <w:rFonts w:ascii="Century Gothic" w:cs="Century Gothic" w:hAnsi="Century Gothic" w:eastAsia="Century Gothic"/>
          <w:sz w:val="48"/>
          <w:szCs w:val="48"/>
          <w:u w:color="000000"/>
          <w:rtl w:val="0"/>
        </w:rPr>
      </w:pPr>
    </w:p>
    <w:p>
      <w:pPr>
        <w:pStyle w:val="Body"/>
        <w:bidi w:val="0"/>
        <w:spacing w:after="0" w:line="240" w:lineRule="auto"/>
        <w:ind w:left="0" w:right="0" w:firstLine="0"/>
        <w:jc w:val="left"/>
        <w:rPr>
          <w:rFonts w:ascii="Century Gothic" w:cs="Century Gothic" w:hAnsi="Century Gothic" w:eastAsia="Century Gothic"/>
          <w:sz w:val="48"/>
          <w:szCs w:val="48"/>
          <w:u w:color="000000"/>
          <w:rtl w:val="0"/>
        </w:rPr>
      </w:pPr>
    </w:p>
    <w:p>
      <w:pPr>
        <w:pStyle w:val="Body"/>
        <w:bidi w:val="0"/>
        <w:spacing w:after="0" w:line="240" w:lineRule="auto"/>
        <w:ind w:left="0" w:right="0" w:firstLine="0"/>
        <w:jc w:val="left"/>
        <w:rPr>
          <w:rFonts w:ascii="Century Gothic" w:cs="Century Gothic" w:hAnsi="Century Gothic" w:eastAsia="Century Gothic"/>
          <w:sz w:val="48"/>
          <w:szCs w:val="48"/>
          <w:u w:color="000000"/>
          <w:rtl w:val="0"/>
        </w:rPr>
      </w:pPr>
    </w:p>
    <w:p>
      <w:pPr>
        <w:pStyle w:val="Body"/>
        <w:bidi w:val="0"/>
        <w:spacing w:after="0" w:line="240" w:lineRule="auto"/>
        <w:ind w:left="0" w:right="0" w:firstLine="0"/>
        <w:jc w:val="left"/>
        <w:rPr>
          <w:rFonts w:ascii="Century Gothic" w:cs="Century Gothic" w:hAnsi="Century Gothic" w:eastAsia="Century Gothic"/>
          <w:sz w:val="48"/>
          <w:szCs w:val="48"/>
          <w:u w:color="000000"/>
          <w:rtl w:val="0"/>
        </w:rPr>
      </w:pPr>
    </w:p>
    <w:p>
      <w:pPr>
        <w:pStyle w:val="Body"/>
        <w:bidi w:val="0"/>
        <w:spacing w:after="0" w:line="240" w:lineRule="auto"/>
        <w:ind w:left="0" w:right="0" w:firstLine="0"/>
        <w:jc w:val="left"/>
        <w:rPr>
          <w:rFonts w:ascii="Century Gothic" w:cs="Century Gothic" w:hAnsi="Century Gothic" w:eastAsia="Century Gothic"/>
          <w:sz w:val="48"/>
          <w:szCs w:val="48"/>
          <w:u w:color="000000"/>
          <w:rtl w:val="0"/>
        </w:rPr>
      </w:pPr>
    </w:p>
    <w:p>
      <w:pPr>
        <w:pStyle w:val="Body"/>
        <w:bidi w:val="0"/>
        <w:spacing w:after="0" w:line="240" w:lineRule="auto"/>
        <w:ind w:left="0" w:right="0" w:firstLine="0"/>
        <w:jc w:val="left"/>
        <w:rPr>
          <w:b w:val="1"/>
          <w:bCs w:val="1"/>
          <w:sz w:val="48"/>
          <w:szCs w:val="48"/>
          <w:u w:color="000000"/>
          <w:rtl w:val="0"/>
        </w:rPr>
      </w:pPr>
      <w:r>
        <w:rPr>
          <w:b w:val="1"/>
          <w:bCs w:val="1"/>
          <w:sz w:val="48"/>
          <w:szCs w:val="48"/>
          <w:u w:color="000000"/>
          <w:rtl w:val="0"/>
          <w:lang w:val="de-DE"/>
        </w:rPr>
        <w:t>HOMICIDES</w:t>
      </w:r>
    </w:p>
    <w:p>
      <w:pPr>
        <w:pStyle w:val="Body"/>
        <w:bidi w:val="0"/>
        <w:spacing w:after="0" w:line="240" w:lineRule="auto"/>
        <w:ind w:left="0" w:right="0" w:firstLine="0"/>
        <w:jc w:val="left"/>
        <w:rPr>
          <w:b w:val="1"/>
          <w:bCs w:val="1"/>
          <w:sz w:val="48"/>
          <w:szCs w:val="48"/>
          <w:u w:color="000000"/>
          <w:rtl w:val="0"/>
        </w:rPr>
      </w:pPr>
    </w:p>
    <w:p>
      <w:pPr>
        <w:pStyle w:val="Body"/>
        <w:bidi w:val="0"/>
        <w:spacing w:after="0" w:line="240" w:lineRule="auto"/>
        <w:ind w:left="0" w:right="0" w:firstLine="0"/>
        <w:jc w:val="left"/>
        <w:rPr>
          <w:b w:val="1"/>
          <w:bCs w:val="1"/>
          <w:sz w:val="48"/>
          <w:szCs w:val="48"/>
          <w:u w:color="000000"/>
          <w:rtl w:val="0"/>
        </w:rPr>
      </w:pPr>
    </w:p>
    <w:p>
      <w:pPr>
        <w:pStyle w:val="Body"/>
        <w:bidi w:val="0"/>
        <w:spacing w:after="0" w:line="240" w:lineRule="auto"/>
        <w:ind w:left="0" w:right="0" w:firstLine="0"/>
        <w:jc w:val="left"/>
        <w:rPr>
          <w:sz w:val="28"/>
          <w:szCs w:val="28"/>
          <w:u w:color="000000"/>
          <w:rtl w:val="0"/>
        </w:rPr>
      </w:pPr>
      <w:r>
        <w:rPr>
          <w:sz w:val="28"/>
          <w:szCs w:val="28"/>
          <w:u w:color="000000"/>
          <w:rtl w:val="0"/>
          <w:lang w:val="en-US"/>
        </w:rPr>
        <w:t xml:space="preserve">As is reflected in the following graphs, there was an increase in homicides in Pueblo County with an all-time high of 26 deaths.  Males account for 88% of the victims with the average age falling in the 26-50 year range.  Guns were involved in 77% of cases.  </w:t>
      </w:r>
    </w:p>
    <w:p>
      <w:pPr>
        <w:pStyle w:val="Body"/>
        <w:bidi w:val="0"/>
        <w:spacing w:after="0" w:line="240" w:lineRule="auto"/>
        <w:ind w:left="0" w:right="0" w:firstLine="0"/>
        <w:jc w:val="left"/>
        <w:rPr>
          <w:sz w:val="28"/>
          <w:szCs w:val="28"/>
          <w:u w:color="000000"/>
          <w:rtl w:val="0"/>
        </w:rPr>
      </w:pPr>
    </w:p>
    <w:p>
      <w:pPr>
        <w:pStyle w:val="Body"/>
        <w:bidi w:val="0"/>
        <w:spacing w:after="0" w:line="240" w:lineRule="auto"/>
        <w:ind w:left="0" w:right="0" w:firstLine="0"/>
        <w:jc w:val="left"/>
        <w:rPr>
          <w:rFonts w:ascii="Century Gothic" w:cs="Century Gothic" w:hAnsi="Century Gothic" w:eastAsia="Century Gothic"/>
          <w:b w:val="1"/>
          <w:bCs w:val="1"/>
          <w:sz w:val="48"/>
          <w:szCs w:val="48"/>
          <w:u w:color="000000"/>
          <w:rtl w:val="0"/>
        </w:rPr>
      </w:pPr>
    </w:p>
    <w:p>
      <w:pPr>
        <w:pStyle w:val="Body"/>
        <w:bidi w:val="0"/>
        <w:spacing w:after="0" w:line="240" w:lineRule="auto"/>
        <w:ind w:left="0" w:right="0" w:firstLine="0"/>
        <w:jc w:val="left"/>
        <w:rPr>
          <w:rFonts w:ascii="Century Gothic" w:cs="Century Gothic" w:hAnsi="Century Gothic" w:eastAsia="Century Gothic"/>
          <w:sz w:val="48"/>
          <w:szCs w:val="48"/>
          <w:u w:color="000000"/>
          <w:rtl w:val="0"/>
        </w:rPr>
      </w:pPr>
      <w:r>
        <w:rPr>
          <w:rFonts w:ascii="Century Gothic" w:hAnsi="Century Gothic"/>
          <w:b w:val="1"/>
          <w:bCs w:val="1"/>
          <w:sz w:val="48"/>
          <w:szCs w:val="48"/>
          <w:u w:color="000000"/>
          <w:rtl w:val="0"/>
          <w:lang w:val="en-US"/>
        </w:rPr>
        <w:t xml:space="preserve"> </w:t>
      </w:r>
      <w:r>
        <w:drawing xmlns:a="http://schemas.openxmlformats.org/drawingml/2006/main">
          <wp:inline distT="0" distB="0" distL="0" distR="0">
            <wp:extent cx="6467818" cy="3526598"/>
            <wp:effectExtent l="0" t="0" r="0" b="0"/>
            <wp:docPr id="1073741847" name="officeArt object"/>
            <wp:cNvGraphicFramePr/>
            <a:graphic xmlns:a="http://schemas.openxmlformats.org/drawingml/2006/main">
              <a:graphicData uri="http://schemas.openxmlformats.org/drawingml/2006/chart">
                <c:chart xmlns:c="http://schemas.openxmlformats.org/drawingml/2006/chart" r:id="rId24"/>
              </a:graphicData>
            </a:graphic>
          </wp:inline>
        </w:drawing>
      </w:r>
      <w:r>
        <w:drawing xmlns:a="http://schemas.openxmlformats.org/drawingml/2006/main">
          <wp:inline distT="0" distB="0" distL="0" distR="0">
            <wp:extent cx="6381815" cy="4278210"/>
            <wp:effectExtent l="0" t="0" r="0" b="0"/>
            <wp:docPr id="1073741848" name="officeArt object"/>
            <wp:cNvGraphicFramePr/>
            <a:graphic xmlns:a="http://schemas.openxmlformats.org/drawingml/2006/main">
              <a:graphicData uri="http://schemas.openxmlformats.org/drawingml/2006/chart">
                <c:chart xmlns:c="http://schemas.openxmlformats.org/drawingml/2006/chart" r:id="rId25"/>
              </a:graphicData>
            </a:graphic>
          </wp:inline>
        </w:drawing>
      </w:r>
      <w:r>
        <w:drawing xmlns:a="http://schemas.openxmlformats.org/drawingml/2006/main">
          <wp:inline distT="0" distB="0" distL="0" distR="0">
            <wp:extent cx="6246236" cy="6523160"/>
            <wp:effectExtent l="0" t="0" r="0" b="0"/>
            <wp:docPr id="1073741849" name="officeArt object"/>
            <wp:cNvGraphicFramePr/>
            <a:graphic xmlns:a="http://schemas.openxmlformats.org/drawingml/2006/main">
              <a:graphicData uri="http://schemas.openxmlformats.org/drawingml/2006/chart">
                <c:chart xmlns:c="http://schemas.openxmlformats.org/drawingml/2006/chart" r:id="rId26"/>
              </a:graphicData>
            </a:graphic>
          </wp:inline>
        </w:drawing>
      </w:r>
    </w:p>
    <w:p>
      <w:pPr>
        <w:pStyle w:val="Body"/>
        <w:bidi w:val="0"/>
        <w:spacing w:after="0" w:line="360" w:lineRule="auto"/>
        <w:ind w:left="0" w:right="0" w:firstLine="0"/>
        <w:jc w:val="left"/>
        <w:rPr>
          <w:rFonts w:ascii="Century Gothic" w:cs="Century Gothic" w:hAnsi="Century Gothic" w:eastAsia="Century Gothic"/>
          <w:sz w:val="48"/>
          <w:szCs w:val="48"/>
          <w:u w:color="000000"/>
          <w:rtl w:val="0"/>
        </w:rPr>
      </w:pPr>
    </w:p>
    <w:p>
      <w:pPr>
        <w:pStyle w:val="Body"/>
        <w:bidi w:val="0"/>
        <w:spacing w:after="0" w:line="360" w:lineRule="auto"/>
        <w:ind w:left="0" w:right="0" w:firstLine="0"/>
        <w:jc w:val="left"/>
        <w:rPr>
          <w:rFonts w:ascii="Century Gothic" w:cs="Century Gothic" w:hAnsi="Century Gothic" w:eastAsia="Century Gothic"/>
          <w:sz w:val="48"/>
          <w:szCs w:val="48"/>
          <w:u w:color="000000"/>
          <w:rtl w:val="0"/>
        </w:rPr>
      </w:pPr>
    </w:p>
    <w:p>
      <w:pPr>
        <w:pStyle w:val="Body"/>
        <w:bidi w:val="0"/>
        <w:spacing w:after="180" w:line="336" w:lineRule="auto"/>
        <w:ind w:left="0" w:right="0" w:firstLine="0"/>
        <w:jc w:val="left"/>
        <w:rPr>
          <w:rFonts w:ascii="Century Gothic" w:cs="Century Gothic" w:hAnsi="Century Gothic" w:eastAsia="Century Gothic"/>
          <w:outline w:val="0"/>
          <w:color w:val="216cff"/>
          <w:sz w:val="48"/>
          <w:szCs w:val="48"/>
          <w:u w:color="000000"/>
          <w:rtl w:val="0"/>
          <w14:textFill>
            <w14:solidFill>
              <w14:srgbClr w14:val="226DFF"/>
            </w14:solidFill>
          </w14:textFill>
        </w:rPr>
      </w:pPr>
    </w:p>
    <w:p>
      <w:pPr>
        <w:pStyle w:val="Body"/>
        <w:bidi w:val="0"/>
        <w:spacing w:after="180" w:line="336" w:lineRule="auto"/>
        <w:ind w:left="0" w:right="0" w:firstLine="0"/>
        <w:jc w:val="left"/>
        <w:rPr>
          <w:rFonts w:ascii="Century Gothic" w:cs="Century Gothic" w:hAnsi="Century Gothic" w:eastAsia="Century Gothic"/>
          <w:b w:val="1"/>
          <w:bCs w:val="1"/>
          <w:outline w:val="0"/>
          <w:color w:val="216cff"/>
          <w:sz w:val="48"/>
          <w:szCs w:val="48"/>
          <w:u w:color="000000"/>
          <w:rtl w:val="0"/>
          <w14:textFill>
            <w14:solidFill>
              <w14:srgbClr w14:val="226DFF"/>
            </w14:solidFill>
          </w14:textFill>
        </w:rPr>
      </w:pPr>
      <w:r>
        <w:rPr>
          <w:b w:val="1"/>
          <w:bCs w:val="1"/>
          <w:outline w:val="0"/>
          <w:color w:val="216cff"/>
          <w:sz w:val="48"/>
          <w:szCs w:val="48"/>
          <w:u w:color="000000"/>
          <w:rtl w:val="0"/>
          <w:lang w:val="de-DE"/>
          <w14:textFill>
            <w14:solidFill>
              <w14:srgbClr w14:val="226DFF"/>
            </w14:solidFill>
          </w14:textFill>
        </w:rPr>
        <w:t>DEATHS OF UNDETERMINED MANNER</w:t>
      </w:r>
    </w:p>
    <w:p>
      <w:pPr>
        <w:pStyle w:val="Body"/>
        <w:keepNext w:val="1"/>
        <w:keepLines w:val="0"/>
        <w:pageBreakBefore w:val="0"/>
        <w:framePr w:hSpace="0" w:hAnchor="text" w:vAnchor="text" w:wrap="around" w:dropCap="drop" w:lines="3"/>
        <w:widowControl w:val="1"/>
        <w:pBdr>
          <w:bottom w:val="nil"/>
          <w:right w:val="nil"/>
        </w:pBdr>
        <w:shd w:val="clear" w:color="auto" w:fill="auto"/>
        <w:suppressAutoHyphens w:val="0"/>
        <w:bidi w:val="0"/>
        <w:spacing w:before="0" w:after="0" w:line="1235" w:lineRule="exact"/>
        <w:ind w:left="0" w:right="0" w:firstLine="0"/>
        <w:jc w:val="left"/>
        <w:outlineLvl w:val="9"/>
        <w:textAlignment w:val="baseline"/>
        <w:rPr>
          <w:rtl w:val="0"/>
        </w:rPr>
      </w:pPr>
      <w:r>
        <w:rPr>
          <w:rFonts w:ascii="Graphik" w:cs="Graphik" w:hAnsi="Graphik" w:eastAsia="Graphik"/>
          <w:b w:val="0"/>
          <w:bCs w:val="0"/>
          <w:i w:val="0"/>
          <w:iCs w:val="0"/>
          <w:caps w:val="0"/>
          <w:smallCaps w:val="0"/>
          <w:strike w:val="0"/>
          <w:dstrike w:val="0"/>
          <w:outline w:val="0"/>
          <w:color w:val="000000"/>
          <w:spacing w:val="0"/>
          <w:kern w:val="0"/>
          <w:position w:val="-8"/>
          <w:sz w:val="139"/>
          <w:szCs w:val="139"/>
          <w:u w:val="none" w:color="000000"/>
          <w:shd w:val="nil" w:color="auto" w:fill="auto"/>
          <w:vertAlign w:val="baseline"/>
          <w:rtl w:val="0"/>
          <w14:textOutline>
            <w14:noFill/>
          </w14:textOutline>
          <w14:textFill>
            <w14:solidFill>
              <w14:srgbClr w14:val="000000"/>
            </w14:solidFill>
          </w14:textFill>
        </w:rPr>
        <w:t>I</w:t>
      </w:r>
    </w:p>
    <w:p>
      <w:pPr>
        <w:pStyle w:val="Body"/>
        <w:bidi w:val="0"/>
        <w:spacing w:after="180" w:line="336" w:lineRule="auto"/>
        <w:ind w:left="0" w:right="0" w:firstLine="0"/>
        <w:jc w:val="left"/>
        <w:rPr>
          <w:rFonts w:ascii="Century Gothic" w:cs="Century Gothic" w:hAnsi="Century Gothic" w:eastAsia="Century Gothic"/>
          <w:u w:color="000000"/>
          <w:rtl w:val="0"/>
        </w:rPr>
      </w:pPr>
      <w:r>
        <w:rPr>
          <w:rFonts w:ascii="Century Gothic" w:hAnsi="Century Gothic"/>
          <w:u w:color="000000"/>
          <w:rtl w:val="0"/>
          <w:lang w:val="en-US"/>
        </w:rPr>
        <w:t>t is the goal of the Pueblo County Coroner</w:t>
      </w:r>
      <w:r>
        <w:rPr>
          <w:rFonts w:ascii="Century Gothic" w:hAnsi="Century Gothic" w:hint="default"/>
          <w:u w:color="000000"/>
          <w:rtl w:val="1"/>
        </w:rPr>
        <w:t>’</w:t>
      </w:r>
      <w:r>
        <w:rPr>
          <w:rFonts w:ascii="Century Gothic" w:hAnsi="Century Gothic"/>
          <w:u w:color="000000"/>
          <w:rtl w:val="0"/>
          <w:lang w:val="en-US"/>
        </w:rPr>
        <w:t xml:space="preserve">s Office to provide family of the decedent a cause and manner of death.  Unfortunately, there are a few cases in which the cause of death cannot be determined despite a complete autopsy, comprehensive toxicology/histology tests, and a thorough multidisciplinary scene investigation.  There are also cases in which the cause of death is obvious, but the manner of death could not be determined due to lack of evidence.  The determination of manner of death is made </w:t>
      </w:r>
      <w:r>
        <w:rPr>
          <w:rFonts w:ascii="Century Gothic" w:hAnsi="Century Gothic" w:hint="default"/>
          <w:u w:color="000000"/>
          <w:rtl w:val="1"/>
          <w:lang w:val="ar-SA" w:bidi="ar-SA"/>
        </w:rPr>
        <w:t>“</w:t>
      </w:r>
      <w:r>
        <w:rPr>
          <w:rFonts w:ascii="Century Gothic" w:hAnsi="Century Gothic"/>
          <w:u w:color="000000"/>
          <w:rtl w:val="0"/>
          <w:lang w:val="en-US"/>
        </w:rPr>
        <w:t>on the preponderance</w:t>
      </w:r>
      <w:r>
        <w:rPr>
          <w:rFonts w:ascii="Century Gothic" w:hAnsi="Century Gothic" w:hint="default"/>
          <w:u w:color="000000"/>
          <w:rtl w:val="0"/>
        </w:rPr>
        <w:t xml:space="preserve">” </w:t>
      </w:r>
      <w:r>
        <w:rPr>
          <w:rFonts w:ascii="Century Gothic" w:hAnsi="Century Gothic"/>
          <w:u w:color="000000"/>
          <w:rtl w:val="0"/>
          <w:lang w:val="en-US"/>
        </w:rPr>
        <w:t xml:space="preserve">of evidence, and when this is unattainable, the manner is listed as undetermined.  An example of such a case is an obvious drug overdose, but with the evidence documented, the manner is unable to be determined between suicide and accident.  </w:t>
      </w:r>
    </w:p>
    <w:p>
      <w:pPr>
        <w:pStyle w:val="Body"/>
        <w:bidi w:val="0"/>
        <w:spacing w:after="180" w:line="336" w:lineRule="auto"/>
        <w:ind w:left="0" w:right="0" w:firstLine="0"/>
        <w:jc w:val="left"/>
        <w:rPr>
          <w:rFonts w:ascii="Century Gothic" w:cs="Century Gothic" w:hAnsi="Century Gothic" w:eastAsia="Century Gothic"/>
          <w:sz w:val="48"/>
          <w:szCs w:val="48"/>
          <w:u w:color="000000"/>
          <w:rtl w:val="0"/>
        </w:rPr>
      </w:pPr>
      <w:r>
        <w:drawing xmlns:a="http://schemas.openxmlformats.org/drawingml/2006/main">
          <wp:inline distT="0" distB="0" distL="0" distR="0">
            <wp:extent cx="6448768" cy="2981111"/>
            <wp:effectExtent l="0" t="0" r="0" b="0"/>
            <wp:docPr id="1073741850" name="officeArt object"/>
            <wp:cNvGraphicFramePr/>
            <a:graphic xmlns:a="http://schemas.openxmlformats.org/drawingml/2006/main">
              <a:graphicData uri="http://schemas.openxmlformats.org/drawingml/2006/chart">
                <c:chart xmlns:c="http://schemas.openxmlformats.org/drawingml/2006/chart" r:id="rId27"/>
              </a:graphicData>
            </a:graphic>
          </wp:inline>
        </w:drawing>
      </w:r>
    </w:p>
    <w:p>
      <w:pPr>
        <w:pStyle w:val="Body"/>
        <w:bidi w:val="0"/>
        <w:spacing w:after="180" w:line="336" w:lineRule="auto"/>
        <w:ind w:left="0" w:right="0" w:firstLine="0"/>
        <w:jc w:val="left"/>
        <w:rPr>
          <w:rtl w:val="0"/>
        </w:rPr>
      </w:pPr>
      <w:r>
        <w:rPr>
          <w:rFonts w:ascii="Century Gothic" w:hAnsi="Century Gothic"/>
          <w:u w:color="000000"/>
          <w:rtl w:val="0"/>
          <w:lang w:val="en-US"/>
        </w:rPr>
        <w:t xml:space="preserve">Of the </w:t>
      </w:r>
      <w:r>
        <w:rPr>
          <w:rFonts w:ascii="Century Gothic" w:hAnsi="Century Gothic"/>
          <w:u w:color="000000"/>
          <w:rtl w:val="0"/>
          <w:lang w:val="en-US"/>
        </w:rPr>
        <w:t>five</w:t>
      </w:r>
      <w:r>
        <w:rPr>
          <w:rFonts w:ascii="Century Gothic" w:hAnsi="Century Gothic"/>
          <w:u w:color="000000"/>
          <w:rtl w:val="0"/>
          <w:lang w:val="en-US"/>
        </w:rPr>
        <w:t xml:space="preserve"> cases with undetermined manner of death, </w:t>
      </w:r>
      <w:r>
        <w:rPr>
          <w:rFonts w:ascii="Century Gothic" w:hAnsi="Century Gothic"/>
          <w:u w:color="000000"/>
          <w:rtl w:val="0"/>
          <w:lang w:val="en-US"/>
        </w:rPr>
        <w:t>three</w:t>
      </w:r>
      <w:r>
        <w:rPr>
          <w:rFonts w:ascii="Century Gothic" w:hAnsi="Century Gothic"/>
          <w:u w:color="000000"/>
          <w:rtl w:val="0"/>
          <w:lang w:val="en-US"/>
        </w:rPr>
        <w:t xml:space="preserve"> were male and</w:t>
      </w:r>
      <w:r>
        <w:rPr>
          <w:rFonts w:ascii="Century Gothic" w:hAnsi="Century Gothic"/>
          <w:u w:color="000000"/>
          <w:rtl w:val="0"/>
          <w:lang w:val="en-US"/>
        </w:rPr>
        <w:t xml:space="preserve"> two </w:t>
      </w:r>
      <w:r>
        <w:rPr>
          <w:rFonts w:ascii="Century Gothic" w:hAnsi="Century Gothic"/>
          <w:u w:color="000000"/>
          <w:rtl w:val="0"/>
          <w:lang w:val="en-US"/>
        </w:rPr>
        <w:t xml:space="preserve">were </w:t>
      </w:r>
      <w:r>
        <w:rPr>
          <w:rFonts w:ascii="Century Gothic" w:hAnsi="Century Gothic"/>
          <w:u w:color="000000"/>
          <w:rtl w:val="0"/>
          <w:lang w:val="en-US"/>
        </w:rPr>
        <w:t>female</w:t>
      </w:r>
      <w:r>
        <w:rPr>
          <w:rFonts w:ascii="Century Gothic" w:hAnsi="Century Gothic"/>
          <w:u w:color="000000"/>
          <w:rtl w:val="0"/>
          <w:lang w:val="en-US"/>
        </w:rPr>
        <w:t xml:space="preserve">.  The </w:t>
      </w:r>
      <w:r>
        <w:rPr>
          <w:rFonts w:ascii="Century Gothic" w:hAnsi="Century Gothic"/>
          <w:u w:color="000000"/>
          <w:rtl w:val="0"/>
          <w:lang w:val="en-US"/>
        </w:rPr>
        <w:t>range in age was 17 to 62 years of age.</w:t>
      </w:r>
      <w:r>
        <w:rPr>
          <w:rFonts w:ascii="Arial Unicode MS" w:cs="Arial Unicode MS" w:hAnsi="Arial Unicode MS" w:eastAsia="Arial Unicode MS"/>
          <w:b w:val="0"/>
          <w:bCs w:val="0"/>
          <w:i w:val="0"/>
          <w:iCs w:val="0"/>
          <w:u w:color="000000"/>
          <w:rtl w:val="0"/>
        </w:rPr>
        <w:br w:type="page"/>
      </w:r>
    </w:p>
    <w:p>
      <w:pPr>
        <w:pStyle w:val="Body"/>
        <w:bidi w:val="0"/>
        <w:spacing w:after="180" w:line="336" w:lineRule="auto"/>
        <w:ind w:left="0" w:right="0" w:firstLine="0"/>
        <w:jc w:val="left"/>
        <w:rPr>
          <w:rFonts w:ascii="Century Gothic" w:cs="Century Gothic" w:hAnsi="Century Gothic" w:eastAsia="Century Gothic"/>
          <w:outline w:val="0"/>
          <w:color w:val="216cff"/>
          <w:u w:color="000000"/>
          <w:rtl w:val="0"/>
          <w14:textFill>
            <w14:solidFill>
              <w14:srgbClr w14:val="226DFF"/>
            </w14:solidFill>
          </w14:textFill>
        </w:rPr>
      </w:pPr>
    </w:p>
    <w:p>
      <w:pPr>
        <w:pStyle w:val="Body"/>
        <w:bidi w:val="0"/>
        <w:spacing w:after="180" w:line="336" w:lineRule="auto"/>
        <w:ind w:left="0" w:right="0" w:firstLine="0"/>
        <w:jc w:val="left"/>
        <w:rPr>
          <w:rFonts w:ascii="Century Gothic" w:cs="Century Gothic" w:hAnsi="Century Gothic" w:eastAsia="Century Gothic"/>
          <w:b w:val="1"/>
          <w:bCs w:val="1"/>
          <w:outline w:val="0"/>
          <w:color w:val="216cff"/>
          <w:sz w:val="48"/>
          <w:szCs w:val="48"/>
          <w:u w:color="000000"/>
          <w:rtl w:val="0"/>
          <w14:textFill>
            <w14:solidFill>
              <w14:srgbClr w14:val="226DFF"/>
            </w14:solidFill>
          </w14:textFill>
        </w:rPr>
      </w:pPr>
      <w:r>
        <w:rPr>
          <w:b w:val="1"/>
          <w:bCs w:val="1"/>
          <w:outline w:val="0"/>
          <w:color w:val="216cff"/>
          <w:sz w:val="48"/>
          <w:szCs w:val="48"/>
          <w:u w:color="000000"/>
          <w:rtl w:val="0"/>
          <w:lang w:val="en-US"/>
          <w14:textFill>
            <w14:solidFill>
              <w14:srgbClr w14:val="226DFF"/>
            </w14:solidFill>
          </w14:textFill>
        </w:rPr>
        <w:t>DRUGS OF ABUSE:  POLYDRUG DEATHS</w:t>
      </w:r>
    </w:p>
    <w:p>
      <w:pPr>
        <w:pStyle w:val="Body"/>
        <w:bidi w:val="0"/>
        <w:spacing w:after="180" w:line="336" w:lineRule="auto"/>
        <w:ind w:left="0" w:right="0" w:firstLine="0"/>
        <w:jc w:val="left"/>
        <w:rPr>
          <w:rFonts w:ascii="Century Gothic" w:cs="Century Gothic" w:hAnsi="Century Gothic" w:eastAsia="Century Gothic"/>
          <w:u w:color="000000"/>
          <w:rtl w:val="0"/>
        </w:rPr>
      </w:pPr>
      <w:r>
        <w:rPr>
          <w:rFonts w:ascii="Century Gothic" w:hAnsi="Century Gothic"/>
          <w:u w:color="000000"/>
          <w:rtl w:val="0"/>
          <w:lang w:val="en-US"/>
        </w:rPr>
        <w:t xml:space="preserve">Of the </w:t>
      </w:r>
      <w:r>
        <w:rPr>
          <w:rFonts w:ascii="Century Gothic" w:hAnsi="Century Gothic"/>
          <w:u w:color="000000"/>
          <w:rtl w:val="0"/>
          <w:lang w:val="en-US"/>
        </w:rPr>
        <w:t>71</w:t>
      </w:r>
      <w:r>
        <w:rPr>
          <w:rFonts w:ascii="Century Gothic" w:hAnsi="Century Gothic"/>
          <w:u w:color="000000"/>
          <w:rtl w:val="0"/>
          <w:lang w:val="en-US"/>
        </w:rPr>
        <w:t xml:space="preserve"> deaths in 202</w:t>
      </w:r>
      <w:r>
        <w:rPr>
          <w:rFonts w:ascii="Century Gothic" w:hAnsi="Century Gothic"/>
          <w:u w:color="000000"/>
          <w:rtl w:val="0"/>
          <w:lang w:val="en-US"/>
        </w:rPr>
        <w:t>1</w:t>
      </w:r>
      <w:r>
        <w:rPr>
          <w:rFonts w:ascii="Century Gothic" w:hAnsi="Century Gothic"/>
          <w:u w:color="000000"/>
          <w:rtl w:val="0"/>
          <w:lang w:val="en-US"/>
        </w:rPr>
        <w:t xml:space="preserve"> attributed to an overdose of drugs, </w:t>
      </w:r>
      <w:r>
        <w:rPr>
          <w:rFonts w:ascii="Century Gothic" w:hAnsi="Century Gothic"/>
          <w:u w:color="000000"/>
          <w:rtl w:val="0"/>
          <w:lang w:val="en-US"/>
        </w:rPr>
        <w:t>39</w:t>
      </w:r>
      <w:r>
        <w:rPr>
          <w:rFonts w:ascii="Century Gothic" w:hAnsi="Century Gothic"/>
          <w:u w:color="000000"/>
          <w:rtl w:val="0"/>
          <w:lang w:val="en-US"/>
        </w:rPr>
        <w:t xml:space="preserve"> involved the lethal level of more than one drug.  </w:t>
      </w:r>
      <w:r>
        <w:rPr>
          <w:rFonts w:ascii="Century Gothic" w:hAnsi="Century Gothic"/>
          <w:u w:color="000000"/>
          <w:rtl w:val="0"/>
          <w:lang w:val="en-US"/>
        </w:rPr>
        <w:t xml:space="preserve">This is an increase of All overdose deaths are considered accidental unless evidence shows they were intentional.  The most common drugs involved in polydrug deaths are ethanol, opiates, and stimulants (methamphetamine and cocaine).  </w:t>
      </w:r>
    </w:p>
    <w:p>
      <w:pPr>
        <w:pStyle w:val="Body"/>
        <w:bidi w:val="0"/>
        <w:spacing w:after="180" w:line="336" w:lineRule="auto"/>
        <w:ind w:left="0" w:right="0" w:firstLine="0"/>
        <w:jc w:val="left"/>
        <w:rPr>
          <w:rFonts w:ascii="Century Gothic" w:cs="Century Gothic" w:hAnsi="Century Gothic" w:eastAsia="Century Gothic"/>
          <w:u w:color="000000"/>
          <w:rtl w:val="0"/>
        </w:rPr>
      </w:pPr>
    </w:p>
    <w:p>
      <w:pPr>
        <w:pStyle w:val="Body"/>
        <w:bidi w:val="0"/>
        <w:spacing w:after="180" w:line="336" w:lineRule="auto"/>
        <w:ind w:left="0" w:right="0" w:firstLine="0"/>
        <w:jc w:val="left"/>
        <w:rPr>
          <w:rFonts w:ascii="Century Gothic" w:cs="Century Gothic" w:hAnsi="Century Gothic" w:eastAsia="Century Gothic"/>
          <w:u w:color="000000"/>
          <w:rtl w:val="0"/>
        </w:rPr>
      </w:pPr>
    </w:p>
    <w:p>
      <w:pPr>
        <w:pStyle w:val="Body"/>
        <w:bidi w:val="0"/>
        <w:spacing w:after="180" w:line="336" w:lineRule="auto"/>
        <w:ind w:left="0" w:right="0" w:firstLine="0"/>
        <w:jc w:val="left"/>
        <w:rPr>
          <w:rFonts w:ascii="Century Gothic" w:cs="Century Gothic" w:hAnsi="Century Gothic" w:eastAsia="Century Gothic"/>
          <w:u w:color="000000"/>
          <w:rtl w:val="0"/>
        </w:rPr>
      </w:pPr>
    </w:p>
    <w:p>
      <w:pPr>
        <w:pStyle w:val="Body"/>
        <w:bidi w:val="0"/>
        <w:spacing w:after="180" w:line="336" w:lineRule="auto"/>
        <w:ind w:left="0" w:right="0" w:firstLine="0"/>
        <w:jc w:val="left"/>
        <w:rPr>
          <w:rFonts w:ascii="Century Gothic" w:cs="Century Gothic" w:hAnsi="Century Gothic" w:eastAsia="Century Gothic"/>
          <w:u w:color="000000"/>
          <w:rtl w:val="0"/>
        </w:rPr>
      </w:pPr>
      <w:r>
        <w:drawing xmlns:a="http://schemas.openxmlformats.org/drawingml/2006/main">
          <wp:inline distT="0" distB="0" distL="0" distR="0">
            <wp:extent cx="6475819" cy="3643959"/>
            <wp:effectExtent l="0" t="0" r="0" b="0"/>
            <wp:docPr id="1073741851" name="officeArt object"/>
            <wp:cNvGraphicFramePr/>
            <a:graphic xmlns:a="http://schemas.openxmlformats.org/drawingml/2006/main">
              <a:graphicData uri="http://schemas.openxmlformats.org/drawingml/2006/chart">
                <c:chart xmlns:c="http://schemas.openxmlformats.org/drawingml/2006/chart" r:id="rId28"/>
              </a:graphicData>
            </a:graphic>
          </wp:inline>
        </w:drawing>
      </w:r>
    </w:p>
    <w:p>
      <w:pPr>
        <w:pStyle w:val="Body"/>
        <w:bidi w:val="0"/>
        <w:spacing w:after="180" w:line="336" w:lineRule="auto"/>
        <w:ind w:left="0" w:right="0" w:firstLine="0"/>
        <w:jc w:val="center"/>
        <w:rPr>
          <w:rFonts w:ascii="Century Gothic" w:cs="Century Gothic" w:hAnsi="Century Gothic" w:eastAsia="Century Gothic"/>
          <w:u w:color="000000"/>
          <w:rtl w:val="0"/>
        </w:rPr>
      </w:pPr>
    </w:p>
    <w:p>
      <w:pPr>
        <w:pStyle w:val="Body"/>
        <w:bidi w:val="0"/>
        <w:spacing w:after="180" w:line="336" w:lineRule="auto"/>
        <w:ind w:left="0" w:right="0" w:firstLine="0"/>
        <w:jc w:val="center"/>
        <w:rPr>
          <w:rFonts w:ascii="Century Gothic" w:cs="Century Gothic" w:hAnsi="Century Gothic" w:eastAsia="Century Gothic"/>
          <w:u w:color="000000"/>
          <w:rtl w:val="0"/>
        </w:rPr>
      </w:pPr>
    </w:p>
    <w:p>
      <w:pPr>
        <w:pStyle w:val="Body"/>
        <w:bidi w:val="0"/>
        <w:spacing w:after="180" w:line="336" w:lineRule="auto"/>
        <w:ind w:left="0" w:right="0" w:firstLine="0"/>
        <w:jc w:val="center"/>
        <w:rPr>
          <w:rFonts w:ascii="Century Gothic" w:cs="Century Gothic" w:hAnsi="Century Gothic" w:eastAsia="Century Gothic"/>
          <w:u w:color="000000"/>
          <w:rtl w:val="0"/>
        </w:rPr>
      </w:pPr>
      <w:r>
        <w:rPr>
          <w:rFonts w:ascii="Century Gothic" w:cs="Century Gothic" w:hAnsi="Century Gothic" w:eastAsia="Century Gothic"/>
          <w:u w:color="000000"/>
          <w:rtl w:val="0"/>
        </w:rPr>
        <w:drawing xmlns:a="http://schemas.openxmlformats.org/drawingml/2006/main">
          <wp:anchor distT="0" distB="0" distL="152400" distR="152400" simplePos="0" relativeHeight="251663360" behindDoc="0" locked="0" layoutInCell="1" allowOverlap="1">
            <wp:simplePos x="0" y="0"/>
            <wp:positionH relativeFrom="margin">
              <wp:posOffset>1768978</wp:posOffset>
            </wp:positionH>
            <wp:positionV relativeFrom="page">
              <wp:posOffset>2124168</wp:posOffset>
            </wp:positionV>
            <wp:extent cx="4489407" cy="4274509"/>
            <wp:effectExtent l="0" t="0" r="0" b="0"/>
            <wp:wrapTopAndBottom distT="0" distB="0"/>
            <wp:docPr id="1073741852" name="officeArt object"/>
            <wp:cNvGraphicFramePr/>
            <a:graphic xmlns:a="http://schemas.openxmlformats.org/drawingml/2006/main">
              <a:graphicData uri="http://schemas.openxmlformats.org/drawingml/2006/chart">
                <c:chart xmlns:c="http://schemas.openxmlformats.org/drawingml/2006/chart" r:id="rId29"/>
              </a:graphicData>
            </a:graphic>
          </wp:anchor>
        </w:drawing>
      </w:r>
    </w:p>
    <w:p>
      <w:pPr>
        <w:pStyle w:val="Body"/>
        <w:bidi w:val="0"/>
        <w:spacing w:after="180" w:line="336" w:lineRule="auto"/>
        <w:ind w:left="0" w:right="0" w:firstLine="0"/>
        <w:jc w:val="center"/>
        <w:rPr>
          <w:rFonts w:ascii="Graphik" w:cs="Graphik" w:hAnsi="Graphik" w:eastAsia="Graphik"/>
          <w:outline w:val="0"/>
          <w:color w:val="26ba28"/>
          <w:sz w:val="28"/>
          <w:szCs w:val="28"/>
          <w:u w:color="000000"/>
          <w:rtl w:val="0"/>
          <w14:textFill>
            <w14:solidFill>
              <w14:srgbClr w14:val="27BB28"/>
            </w14:solidFill>
          </w14:textFill>
        </w:rPr>
      </w:pPr>
      <w:r>
        <w:rPr>
          <w:rFonts w:ascii="Century Gothic" w:hAnsi="Century Gothic"/>
          <w:u w:color="000000"/>
          <w:rtl w:val="0"/>
          <w:lang w:val="en-US"/>
        </w:rPr>
        <w:t xml:space="preserve">      </w:t>
      </w:r>
      <w:r>
        <w:rPr>
          <w:rFonts w:ascii="Graphik" w:hAnsi="Graphik"/>
          <w:outline w:val="0"/>
          <w:color w:val="26ba28"/>
          <w:sz w:val="28"/>
          <w:szCs w:val="28"/>
          <w:u w:color="000000"/>
          <w:rtl w:val="0"/>
          <w:lang w:val="en-US"/>
          <w14:textFill>
            <w14:solidFill>
              <w14:srgbClr w14:val="27BB28"/>
            </w14:solidFill>
          </w14:textFill>
        </w:rPr>
        <w:t xml:space="preserve">OVERDOSES BY DRUG - TOTAL 38 </w:t>
      </w:r>
    </w:p>
    <w:p>
      <w:pPr>
        <w:pStyle w:val="Body"/>
        <w:bidi w:val="0"/>
        <w:spacing w:after="180" w:line="336" w:lineRule="auto"/>
        <w:ind w:left="0" w:right="0" w:firstLine="0"/>
        <w:jc w:val="center"/>
        <w:rPr>
          <w:rFonts w:ascii="Century Gothic" w:cs="Century Gothic" w:hAnsi="Century Gothic" w:eastAsia="Century Gothic"/>
          <w:u w:color="000000"/>
          <w:rtl w:val="0"/>
        </w:rPr>
      </w:pPr>
      <w:r>
        <w:drawing xmlns:a="http://schemas.openxmlformats.org/drawingml/2006/main">
          <wp:inline distT="0" distB="0" distL="0" distR="0">
            <wp:extent cx="6567745" cy="5020268"/>
            <wp:effectExtent l="0" t="0" r="0" b="0"/>
            <wp:docPr id="1073741853" name="officeArt object"/>
            <wp:cNvGraphicFramePr/>
            <a:graphic xmlns:a="http://schemas.openxmlformats.org/drawingml/2006/main">
              <a:graphicData uri="http://schemas.openxmlformats.org/drawingml/2006/chart">
                <c:chart xmlns:c="http://schemas.openxmlformats.org/drawingml/2006/chart" r:id="rId30"/>
              </a:graphicData>
            </a:graphic>
          </wp:inline>
        </w:drawing>
      </w:r>
    </w:p>
    <w:p>
      <w:pPr>
        <w:pStyle w:val="Body"/>
        <w:bidi w:val="0"/>
        <w:spacing w:after="180" w:line="336" w:lineRule="auto"/>
        <w:ind w:left="0" w:right="0" w:firstLine="0"/>
        <w:jc w:val="left"/>
        <w:rPr>
          <w:rFonts w:ascii="Century Gothic" w:cs="Century Gothic" w:hAnsi="Century Gothic" w:eastAsia="Century Gothic"/>
          <w:outline w:val="0"/>
          <w:color w:val="216cff"/>
          <w:u w:color="000000"/>
          <w:rtl w:val="0"/>
          <w14:textFill>
            <w14:solidFill>
              <w14:srgbClr w14:val="226DFF"/>
            </w14:solidFill>
          </w14:textFill>
        </w:rPr>
      </w:pPr>
    </w:p>
    <w:p>
      <w:pPr>
        <w:pStyle w:val="Body"/>
        <w:bidi w:val="0"/>
        <w:spacing w:after="180" w:line="336" w:lineRule="auto"/>
        <w:ind w:left="0" w:right="0" w:firstLine="0"/>
        <w:jc w:val="left"/>
        <w:rPr>
          <w:rFonts w:ascii="Century Gothic" w:cs="Century Gothic" w:hAnsi="Century Gothic" w:eastAsia="Century Gothic"/>
          <w:outline w:val="0"/>
          <w:color w:val="216cff"/>
          <w:u w:color="000000"/>
          <w:rtl w:val="0"/>
          <w14:textFill>
            <w14:solidFill>
              <w14:srgbClr w14:val="226DFF"/>
            </w14:solidFill>
          </w14:textFill>
        </w:rPr>
      </w:pPr>
    </w:p>
    <w:p>
      <w:pPr>
        <w:pStyle w:val="Body"/>
        <w:bidi w:val="0"/>
        <w:spacing w:after="180" w:line="336" w:lineRule="auto"/>
        <w:ind w:left="0" w:right="0" w:firstLine="0"/>
        <w:jc w:val="left"/>
        <w:rPr>
          <w:rFonts w:ascii="Century Gothic" w:cs="Century Gothic" w:hAnsi="Century Gothic" w:eastAsia="Century Gothic"/>
          <w:outline w:val="0"/>
          <w:color w:val="216cff"/>
          <w:u w:color="000000"/>
          <w:rtl w:val="0"/>
          <w14:textFill>
            <w14:solidFill>
              <w14:srgbClr w14:val="226DFF"/>
            </w14:solidFill>
          </w14:textFill>
        </w:rPr>
      </w:pPr>
    </w:p>
    <w:p>
      <w:pPr>
        <w:pStyle w:val="Body"/>
        <w:bidi w:val="0"/>
        <w:spacing w:after="180" w:line="336" w:lineRule="auto"/>
        <w:ind w:left="0" w:right="0" w:firstLine="0"/>
        <w:jc w:val="left"/>
        <w:rPr>
          <w:rFonts w:ascii="Century Gothic" w:cs="Century Gothic" w:hAnsi="Century Gothic" w:eastAsia="Century Gothic"/>
          <w:outline w:val="0"/>
          <w:color w:val="216cff"/>
          <w:u w:color="000000"/>
          <w:rtl w:val="0"/>
          <w14:textFill>
            <w14:solidFill>
              <w14:srgbClr w14:val="226DFF"/>
            </w14:solidFill>
          </w14:textFill>
        </w:rPr>
      </w:pPr>
    </w:p>
    <w:p>
      <w:pPr>
        <w:pStyle w:val="Body"/>
        <w:bidi w:val="0"/>
        <w:spacing w:after="180" w:line="336" w:lineRule="auto"/>
        <w:ind w:left="0" w:right="0" w:firstLine="0"/>
        <w:jc w:val="left"/>
        <w:rPr>
          <w:rFonts w:ascii="Century Gothic" w:cs="Century Gothic" w:hAnsi="Century Gothic" w:eastAsia="Century Gothic"/>
          <w:outline w:val="0"/>
          <w:color w:val="216cff"/>
          <w:u w:color="000000"/>
          <w:rtl w:val="0"/>
          <w14:textFill>
            <w14:solidFill>
              <w14:srgbClr w14:val="226DFF"/>
            </w14:solidFill>
          </w14:textFill>
        </w:rPr>
      </w:pPr>
    </w:p>
    <w:p>
      <w:pPr>
        <w:pStyle w:val="Body"/>
        <w:bidi w:val="0"/>
        <w:spacing w:after="180" w:line="336" w:lineRule="auto"/>
        <w:ind w:left="0" w:right="0" w:firstLine="0"/>
        <w:jc w:val="left"/>
        <w:rPr>
          <w:rFonts w:ascii="Century Gothic" w:cs="Century Gothic" w:hAnsi="Century Gothic" w:eastAsia="Century Gothic"/>
          <w:outline w:val="0"/>
          <w:color w:val="216cff"/>
          <w:u w:color="000000"/>
          <w:rtl w:val="0"/>
          <w14:textFill>
            <w14:solidFill>
              <w14:srgbClr w14:val="226DFF"/>
            </w14:solidFill>
          </w14:textFill>
        </w:rPr>
      </w:pPr>
    </w:p>
    <w:p>
      <w:pPr>
        <w:pStyle w:val="Body"/>
        <w:bidi w:val="0"/>
        <w:spacing w:after="180" w:line="336" w:lineRule="auto"/>
        <w:ind w:left="0" w:right="0" w:firstLine="0"/>
        <w:jc w:val="left"/>
        <w:rPr>
          <w:rFonts w:ascii="Century Gothic" w:cs="Century Gothic" w:hAnsi="Century Gothic" w:eastAsia="Century Gothic"/>
          <w:outline w:val="0"/>
          <w:color w:val="216cff"/>
          <w:u w:color="000000"/>
          <w:rtl w:val="0"/>
          <w14:textFill>
            <w14:solidFill>
              <w14:srgbClr w14:val="226DFF"/>
            </w14:solidFill>
          </w14:textFill>
        </w:rPr>
      </w:pPr>
    </w:p>
    <w:p>
      <w:pPr>
        <w:pStyle w:val="Body"/>
        <w:bidi w:val="0"/>
        <w:spacing w:after="180" w:line="336" w:lineRule="auto"/>
        <w:ind w:left="0" w:right="0" w:firstLine="0"/>
        <w:jc w:val="left"/>
        <w:rPr>
          <w:rFonts w:ascii="Century Gothic" w:cs="Century Gothic" w:hAnsi="Century Gothic" w:eastAsia="Century Gothic"/>
          <w:b w:val="1"/>
          <w:bCs w:val="1"/>
          <w:outline w:val="0"/>
          <w:color w:val="216cff"/>
          <w:sz w:val="48"/>
          <w:szCs w:val="48"/>
          <w:u w:color="000000"/>
          <w:rtl w:val="0"/>
          <w14:textFill>
            <w14:solidFill>
              <w14:srgbClr w14:val="226DFF"/>
            </w14:solidFill>
          </w14:textFill>
        </w:rPr>
      </w:pPr>
      <w:r>
        <w:rPr>
          <w:b w:val="1"/>
          <w:bCs w:val="1"/>
          <w:outline w:val="0"/>
          <w:color w:val="216cff"/>
          <w:sz w:val="48"/>
          <w:szCs w:val="48"/>
          <w:u w:color="000000"/>
          <w:rtl w:val="0"/>
          <w:lang w:val="de-DE"/>
          <w14:textFill>
            <w14:solidFill>
              <w14:srgbClr w14:val="226DFF"/>
            </w14:solidFill>
          </w14:textFill>
        </w:rPr>
        <w:t>CHILD DEATHS</w:t>
      </w:r>
    </w:p>
    <w:p>
      <w:pPr>
        <w:pStyle w:val="Body"/>
        <w:keepNext w:val="1"/>
        <w:keepLines w:val="0"/>
        <w:pageBreakBefore w:val="0"/>
        <w:framePr w:hSpace="0" w:hAnchor="text" w:vAnchor="text" w:wrap="around" w:dropCap="drop" w:lines="3"/>
        <w:widowControl w:val="1"/>
        <w:pBdr>
          <w:bottom w:val="nil"/>
          <w:right w:val="nil"/>
        </w:pBdr>
        <w:shd w:val="clear" w:color="auto" w:fill="auto"/>
        <w:suppressAutoHyphens w:val="0"/>
        <w:bidi w:val="0"/>
        <w:spacing w:before="0" w:after="0" w:line="1235" w:lineRule="exact"/>
        <w:ind w:left="0" w:right="0" w:firstLine="0"/>
        <w:jc w:val="left"/>
        <w:outlineLvl w:val="9"/>
        <w:textAlignment w:val="baseline"/>
        <w:rPr>
          <w:rtl w:val="0"/>
        </w:rPr>
      </w:pPr>
      <w:r>
        <w:rPr>
          <w:rFonts w:ascii="Graphik" w:cs="Graphik" w:hAnsi="Graphik" w:eastAsia="Graphik"/>
          <w:b w:val="0"/>
          <w:bCs w:val="0"/>
          <w:i w:val="0"/>
          <w:iCs w:val="0"/>
          <w:caps w:val="0"/>
          <w:smallCaps w:val="0"/>
          <w:strike w:val="0"/>
          <w:dstrike w:val="0"/>
          <w:outline w:val="0"/>
          <w:color w:val="000000"/>
          <w:spacing w:val="0"/>
          <w:kern w:val="0"/>
          <w:position w:val="-8"/>
          <w:sz w:val="139"/>
          <w:szCs w:val="139"/>
          <w:u w:val="none" w:color="000000"/>
          <w:shd w:val="nil" w:color="auto" w:fill="auto"/>
          <w:vertAlign w:val="baseline"/>
          <w:rtl w:val="0"/>
          <w14:textOutline>
            <w14:noFill/>
          </w14:textOutline>
          <w14:textFill>
            <w14:solidFill>
              <w14:srgbClr w14:val="000000"/>
            </w14:solidFill>
          </w14:textFill>
        </w:rPr>
        <w:t>T</w:t>
      </w:r>
    </w:p>
    <w:p>
      <w:pPr>
        <w:pStyle w:val="Body"/>
        <w:bidi w:val="0"/>
        <w:spacing w:after="180" w:line="336" w:lineRule="auto"/>
        <w:ind w:left="0" w:right="0" w:firstLine="0"/>
        <w:jc w:val="left"/>
        <w:rPr>
          <w:rFonts w:ascii="Century Gothic" w:cs="Century Gothic" w:hAnsi="Century Gothic" w:eastAsia="Century Gothic"/>
          <w:u w:color="000000"/>
          <w:rtl w:val="0"/>
        </w:rPr>
      </w:pPr>
      <w:r>
        <w:rPr>
          <w:rFonts w:ascii="Century Gothic" w:hAnsi="Century Gothic"/>
          <w:u w:color="000000"/>
          <w:rtl w:val="0"/>
          <w:lang w:val="en-US"/>
        </w:rPr>
        <w:t>he Pueblo County Coroner</w:t>
      </w:r>
      <w:r>
        <w:rPr>
          <w:rFonts w:ascii="Century Gothic" w:hAnsi="Century Gothic" w:hint="default"/>
          <w:u w:color="000000"/>
          <w:rtl w:val="1"/>
        </w:rPr>
        <w:t>’</w:t>
      </w:r>
      <w:r>
        <w:rPr>
          <w:rFonts w:ascii="Century Gothic" w:hAnsi="Century Gothic"/>
          <w:u w:color="000000"/>
          <w:rtl w:val="0"/>
          <w:lang w:val="en-US"/>
        </w:rPr>
        <w:t xml:space="preserve">s Office </w:t>
      </w:r>
      <w:r>
        <w:rPr>
          <w:rFonts w:ascii="Century Gothic" w:hAnsi="Century Gothic"/>
          <w:u w:color="000000"/>
          <w:rtl w:val="0"/>
          <w:lang w:val="en-US"/>
        </w:rPr>
        <w:t>investigated</w:t>
      </w:r>
      <w:r>
        <w:rPr>
          <w:rFonts w:ascii="Century Gothic" w:hAnsi="Century Gothic"/>
          <w:u w:color="000000"/>
          <w:rtl w:val="0"/>
          <w:lang w:val="en-US"/>
        </w:rPr>
        <w:t xml:space="preserve"> eighteen deaths involving children under the age of 18 years.  Of those, 12 were males and six females.  Eight cases involved children one year and younger, three case</w:t>
      </w:r>
      <w:r>
        <w:rPr>
          <w:rFonts w:ascii="Century Gothic" w:hAnsi="Century Gothic"/>
          <w:u w:color="000000"/>
          <w:rtl w:val="0"/>
          <w:lang w:val="en-US"/>
        </w:rPr>
        <w:t>s</w:t>
      </w:r>
      <w:r>
        <w:rPr>
          <w:rFonts w:ascii="Century Gothic" w:hAnsi="Century Gothic"/>
          <w:u w:color="000000"/>
          <w:rtl w:val="0"/>
          <w:lang w:val="en-US"/>
        </w:rPr>
        <w:t xml:space="preserve"> two to ten years, and seven cases 11-17 years of age.  </w:t>
      </w:r>
    </w:p>
    <w:p>
      <w:pPr>
        <w:pStyle w:val="Body"/>
        <w:bidi w:val="0"/>
        <w:spacing w:after="180" w:line="336" w:lineRule="auto"/>
        <w:ind w:left="0" w:right="0" w:firstLine="0"/>
        <w:jc w:val="left"/>
        <w:rPr>
          <w:rFonts w:ascii="Century Gothic" w:cs="Century Gothic" w:hAnsi="Century Gothic" w:eastAsia="Century Gothic"/>
          <w:u w:color="000000"/>
          <w:rtl w:val="0"/>
        </w:rPr>
      </w:pPr>
    </w:p>
    <w:p>
      <w:pPr>
        <w:pStyle w:val="Body"/>
        <w:bidi w:val="0"/>
        <w:spacing w:after="180" w:line="336" w:lineRule="auto"/>
        <w:ind w:left="0" w:right="0" w:firstLine="0"/>
        <w:jc w:val="left"/>
        <w:rPr>
          <w:rFonts w:ascii="Century Gothic" w:cs="Century Gothic" w:hAnsi="Century Gothic" w:eastAsia="Century Gothic"/>
          <w:u w:color="000000"/>
          <w:rtl w:val="0"/>
        </w:rPr>
      </w:pPr>
    </w:p>
    <w:p>
      <w:pPr>
        <w:pStyle w:val="Body"/>
        <w:bidi w:val="0"/>
        <w:spacing w:after="180" w:line="336" w:lineRule="auto"/>
        <w:ind w:left="0" w:right="0" w:firstLine="0"/>
        <w:jc w:val="left"/>
        <w:rPr>
          <w:rtl w:val="0"/>
        </w:rPr>
      </w:pPr>
      <w:r>
        <w:drawing xmlns:a="http://schemas.openxmlformats.org/drawingml/2006/main">
          <wp:inline distT="0" distB="0" distL="0" distR="0">
            <wp:extent cx="6350735" cy="3672663"/>
            <wp:effectExtent l="0" t="0" r="0" b="0"/>
            <wp:docPr id="1073741854" name="officeArt object"/>
            <wp:cNvGraphicFramePr/>
            <a:graphic xmlns:a="http://schemas.openxmlformats.org/drawingml/2006/main">
              <a:graphicData uri="http://schemas.openxmlformats.org/drawingml/2006/chart">
                <c:chart xmlns:c="http://schemas.openxmlformats.org/drawingml/2006/chart" r:id="rId31"/>
              </a:graphicData>
            </a:graphic>
          </wp:inline>
        </w:drawing>
      </w:r>
    </w:p>
    <w:sectPr>
      <w:headerReference w:type="default" r:id="rId32"/>
      <w:pgSz w:w="12240" w:h="15840" w:orient="portrait"/>
      <w:pgMar w:top="1440" w:right="1080" w:bottom="1800" w:left="1080" w:header="440" w:footer="36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Graphik Semibold">
    <w:charset w:val="00"/>
    <w:family w:val="roman"/>
    <w:pitch w:val="default"/>
  </w:font>
  <w:font w:name="Graphik">
    <w:charset w:val="00"/>
    <w:family w:val="roman"/>
    <w:pitch w:val="default"/>
  </w:font>
  <w:font w:name="Microsoft Sans Serif">
    <w:charset w:val="00"/>
    <w:family w:val="roman"/>
    <w:pitch w:val="default"/>
  </w:font>
  <w:font w:name="Helvetica">
    <w:charset w:val="00"/>
    <w:family w:val="roman"/>
    <w:pitch w:val="default"/>
  </w:font>
  <w:font w:name="Helvetica Neue">
    <w:charset w:val="00"/>
    <w:family w:val="roman"/>
    <w:pitch w:val="default"/>
  </w:font>
  <w:font w:name="Arial Black">
    <w:charset w:val="00"/>
    <w:family w:val="roman"/>
    <w:pitch w:val="default"/>
  </w:font>
  <w:font w:name="Times Roman">
    <w:charset w:val="00"/>
    <w:family w:val="roman"/>
    <w:pitch w:val="default"/>
  </w:font>
  <w:font w:name="Century Gothic">
    <w:charset w:val="00"/>
    <w:family w:val="roman"/>
    <w:pitch w:val="default"/>
  </w:font>
  <w:font w:name="Courier New">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5040"/>
        <w:tab w:val="right" w:pos="10080"/>
      </w:tabs>
      <w:jc w:val="left"/>
    </w:pPr>
    <w:r>
      <w:rPr/>
      <w:fldChar w:fldCharType="begin" w:fldLock="0"/>
    </w:r>
    <w:r>
      <w:instrText xml:space="preserve"> PAGE </w:instrText>
    </w:r>
    <w:r>
      <w:rPr/>
      <w:fldChar w:fldCharType="separate" w:fldLock="0"/>
    </w:r>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5040"/>
        <w:tab w:val="right" w:pos="10080"/>
      </w:tabs>
      <w:jc w:val="left"/>
    </w:pPr>
    <w:r>
      <w:rPr>
        <w:rtl w:val="0"/>
        <w:lang w:val="en-US"/>
      </w:rPr>
      <w:t>2021 ANNUAL REPORT</w:t>
    </w:r>
    <w:r>
      <w:rPr>
        <w:rtl w:val="0"/>
      </w:rPr>
      <w:t xml:space="preserve">  </w:t>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5040"/>
        <w:tab w:val="right" w:pos="10080"/>
      </w:tabs>
      <w:jc w:val="left"/>
    </w:pPr>
    <w:r>
      <w:rPr>
        <w:rtl w:val="0"/>
      </w:rPr>
      <w:t xml:space="preserve">Lorem </w:t>
    </w:r>
    <w:r>
      <w:rPr>
        <w:rtl w:val="0"/>
        <w:lang w:val="en-US"/>
      </w:rPr>
      <w:t>I</w:t>
    </w:r>
    <w:r>
      <w:rPr>
        <w:rtl w:val="0"/>
      </w:rPr>
      <w:t xml:space="preserve">psum </w:t>
    </w:r>
    <w:r>
      <w:rPr>
        <w:rtl w:val="0"/>
        <w:lang w:val="en-US"/>
      </w:rPr>
      <w:t>D</w:t>
    </w:r>
    <w:r>
      <w:rPr>
        <w:rtl w:val="0"/>
        <w:lang w:val="it-IT"/>
      </w:rPr>
      <w:t>olor</w:t>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
    <w:multiLevelType w:val="hybridMultilevel"/>
    <w:numStyleLink w:val="Imported Style 3"/>
  </w:abstractNum>
  <w:abstractNum w:abstractNumId="3">
    <w:multiLevelType w:val="hybridMultilevel"/>
    <w:styleLink w:val="Imported Style 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4"/>
  </w:abstractNum>
  <w:abstractNum w:abstractNumId="5">
    <w:multiLevelType w:val="hybridMultilevel"/>
    <w:styleLink w:val="Imported Style 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Graphik Semibold" w:cs="Arial Unicode MS" w:hAnsi="Graphik Semibold" w:eastAsia="Arial Unicode MS"/>
      <w:b w:val="0"/>
      <w:bCs w:val="0"/>
      <w:i w:val="0"/>
      <w:iCs w:val="0"/>
      <w:caps w:val="1"/>
      <w:strike w:val="0"/>
      <w:dstrike w:val="0"/>
      <w:outline w:val="0"/>
      <w:color w:val="000000"/>
      <w:spacing w:val="0"/>
      <w:kern w:val="0"/>
      <w:position w:val="0"/>
      <w:sz w:val="18"/>
      <w:szCs w:val="18"/>
      <w:u w:val="none"/>
      <w:shd w:val="nil" w:color="auto" w:fill="auto"/>
      <w:vertAlign w:val="baseline"/>
      <w:lang w:val="en-US"/>
      <w14:textOutline>
        <w14:noFill/>
      </w14:textOutline>
      <w14:textFill>
        <w14:solidFill>
          <w14:srgbClr w14:val="000000"/>
        </w14:solidFill>
      </w14:textFill>
    </w:rPr>
  </w:style>
  <w:style w:type="paragraph" w:styleId="Attribution">
    <w:name w:val="Attribution"/>
    <w:next w:val="Attribution"/>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Graphik Semibold" w:cs="Graphik Semibold" w:hAnsi="Graphik Semibold" w:eastAsia="Graphik Semibold"/>
      <w:b w:val="0"/>
      <w:bCs w:val="0"/>
      <w:i w:val="0"/>
      <w:iCs w:val="0"/>
      <w:caps w:val="0"/>
      <w:smallCaps w:val="0"/>
      <w:strike w:val="0"/>
      <w:dstrike w:val="0"/>
      <w:outline w:val="0"/>
      <w:color w:val="000000"/>
      <w:spacing w:val="-13"/>
      <w:kern w:val="0"/>
      <w:position w:val="0"/>
      <w:sz w:val="46"/>
      <w:szCs w:val="46"/>
      <w:u w:val="none"/>
      <w:shd w:val="nil" w:color="auto" w:fill="auto"/>
      <w:vertAlign w:val="baseline"/>
      <w14:textOutline>
        <w14:noFill/>
      </w14:textOutline>
      <w14:textFill>
        <w14:solidFill>
          <w14:srgbClr w14:val="000000"/>
        </w14:solidFill>
      </w14:textFill>
    </w:rPr>
  </w:style>
  <w:style w:type="paragraph" w:styleId="Label">
    <w:name w:val="Label"/>
    <w:next w:val="Label"/>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Graphik Semibold" w:cs="Arial Unicode MS" w:hAnsi="Graphik Semibold" w:eastAsia="Arial Unicode MS"/>
      <w:b w:val="0"/>
      <w:bCs w:val="0"/>
      <w:i w:val="0"/>
      <w:iCs w:val="0"/>
      <w:caps w:val="0"/>
      <w:smallCaps w:val="0"/>
      <w:strike w:val="0"/>
      <w:dstrike w:val="0"/>
      <w:outline w:val="0"/>
      <w:color w:val="fefffe"/>
      <w:spacing w:val="-5"/>
      <w:kern w:val="0"/>
      <w:position w:val="0"/>
      <w:sz w:val="28"/>
      <w:szCs w:val="28"/>
      <w:u w:val="none"/>
      <w:shd w:val="nil" w:color="auto" w:fill="auto"/>
      <w:vertAlign w:val="baseline"/>
      <w:lang w:val="en-US"/>
      <w14:textOutline>
        <w14:noFill/>
      </w14:textOutline>
      <w14:textFill>
        <w14:solidFill>
          <w14:srgbClr w14:val="FFFFFF"/>
        </w14:solidFill>
      </w14:textFill>
    </w:rPr>
  </w:style>
  <w:style w:type="paragraph" w:styleId="Title">
    <w:name w:val="Title"/>
    <w:next w:val="Title"/>
    <w:pPr>
      <w:keepNext w:val="0"/>
      <w:keepLines w:val="1"/>
      <w:pageBreakBefore w:val="0"/>
      <w:widowControl w:val="1"/>
      <w:shd w:val="clear" w:color="auto" w:fill="auto"/>
      <w:suppressAutoHyphens w:val="0"/>
      <w:bidi w:val="0"/>
      <w:spacing w:before="0" w:after="0" w:line="144" w:lineRule="auto"/>
      <w:ind w:left="0" w:right="0" w:firstLine="0"/>
      <w:jc w:val="left"/>
      <w:outlineLvl w:val="0"/>
    </w:pPr>
    <w:rPr>
      <w:rFonts w:ascii="Graphik" w:cs="Arial Unicode MS" w:hAnsi="Graphik" w:eastAsia="Arial Unicode MS"/>
      <w:b w:val="1"/>
      <w:bCs w:val="1"/>
      <w:i w:val="0"/>
      <w:iCs w:val="0"/>
      <w:caps w:val="1"/>
      <w:strike w:val="0"/>
      <w:dstrike w:val="0"/>
      <w:outline w:val="0"/>
      <w:color w:val="56c1fe"/>
      <w:spacing w:val="-63"/>
      <w:kern w:val="0"/>
      <w:position w:val="0"/>
      <w:sz w:val="160"/>
      <w:szCs w:val="160"/>
      <w:u w:val="none"/>
      <w:shd w:val="nil" w:color="auto" w:fill="auto"/>
      <w:vertAlign w:val="baseline"/>
      <w:lang w:val="en-US"/>
      <w14:textOutline>
        <w14:noFill/>
      </w14:textOutline>
      <w14:textFill>
        <w14:gradFill w14:flip="none" w14:rotWithShape="1">
          <w14:gsLst>
            <w14:gs w14:pos="0">
              <w14:srgbClr w14:val="57C1FF"/>
            </w14:gs>
            <w14:gs w14:pos="100000">
              <w14:srgbClr w14:val="001238"/>
            </w14:gs>
          </w14:gsLst>
          <w14:lin w14:ang="5400000" w14:scaled="0"/>
        </w14:gradFill>
      </w14:textFill>
    </w:rPr>
  </w:style>
  <w:style w:type="paragraph" w:styleId="Subtitle">
    <w:name w:val="Subtitle"/>
    <w:next w:val="Subtitle"/>
    <w:pPr>
      <w:keepNext w:val="0"/>
      <w:keepLines w:val="1"/>
      <w:pageBreakBefore w:val="0"/>
      <w:widowControl w:val="1"/>
      <w:shd w:val="clear" w:color="auto" w:fill="auto"/>
      <w:suppressAutoHyphens w:val="0"/>
      <w:bidi w:val="0"/>
      <w:spacing w:before="0" w:after="0" w:line="168" w:lineRule="auto"/>
      <w:ind w:left="0" w:right="0" w:firstLine="0"/>
      <w:jc w:val="left"/>
      <w:outlineLvl w:val="0"/>
    </w:pPr>
    <w:rPr>
      <w:rFonts w:ascii="Graphik" w:cs="Arial Unicode MS" w:hAnsi="Graphik" w:eastAsia="Arial Unicode MS"/>
      <w:b w:val="1"/>
      <w:bCs w:val="1"/>
      <w:i w:val="0"/>
      <w:iCs w:val="0"/>
      <w:caps w:val="1"/>
      <w:strike w:val="0"/>
      <w:dstrike w:val="0"/>
      <w:outline w:val="0"/>
      <w:color w:val="266090"/>
      <w:spacing w:val="-11"/>
      <w:kern w:val="0"/>
      <w:position w:val="0"/>
      <w:sz w:val="40"/>
      <w:szCs w:val="40"/>
      <w:u w:val="none"/>
      <w:shd w:val="nil" w:color="auto" w:fill="auto"/>
      <w:vertAlign w:val="baseline"/>
      <w:lang w:val="en-US"/>
      <w14:textOutline>
        <w14:noFill/>
      </w14:textOutline>
      <w14:textFill>
        <w14:solidFill>
          <w14:srgbClr w14:val="276091"/>
        </w14:solidFill>
      </w14:textFill>
    </w:rPr>
  </w:style>
  <w:style w:type="paragraph" w:styleId="Subheading">
    <w:name w:val="Subheading"/>
    <w:next w:val="Subheading"/>
    <w:pPr>
      <w:keepNext w:val="0"/>
      <w:keepLines w:val="0"/>
      <w:pageBreakBefore w:val="0"/>
      <w:widowControl w:val="1"/>
      <w:shd w:val="clear" w:color="auto" w:fill="auto"/>
      <w:suppressAutoHyphens w:val="0"/>
      <w:bidi w:val="0"/>
      <w:spacing w:before="0" w:after="0" w:line="168" w:lineRule="auto"/>
      <w:ind w:left="0" w:right="0" w:firstLine="0"/>
      <w:jc w:val="left"/>
      <w:outlineLvl w:val="0"/>
    </w:pPr>
    <w:rPr>
      <w:rFonts w:ascii="Graphik Semibold" w:cs="Arial Unicode MS" w:hAnsi="Graphik Semibold" w:eastAsia="Arial Unicode MS"/>
      <w:b w:val="0"/>
      <w:bCs w:val="0"/>
      <w:i w:val="0"/>
      <w:iCs w:val="0"/>
      <w:caps w:val="1"/>
      <w:strike w:val="0"/>
      <w:dstrike w:val="0"/>
      <w:outline w:val="0"/>
      <w:color w:val="266090"/>
      <w:spacing w:val="-9"/>
      <w:kern w:val="0"/>
      <w:position w:val="0"/>
      <w:sz w:val="32"/>
      <w:szCs w:val="32"/>
      <w:u w:val="none"/>
      <w:shd w:val="nil" w:color="auto" w:fill="auto"/>
      <w:vertAlign w:val="baseline"/>
      <w:lang w:val="en-US"/>
      <w14:textOutline>
        <w14:noFill/>
      </w14:textOutline>
      <w14:textFill>
        <w14:solidFill>
          <w14:srgbClr w14:val="276091"/>
        </w14:solidFill>
      </w14:textFill>
    </w:rPr>
  </w:style>
  <w:style w:type="paragraph" w:styleId="Title 2">
    <w:name w:val="Title 2"/>
    <w:next w:val="Title 2"/>
    <w:pPr>
      <w:keepNext w:val="0"/>
      <w:keepLines w:val="1"/>
      <w:pageBreakBefore w:val="0"/>
      <w:widowControl w:val="1"/>
      <w:shd w:val="clear" w:color="auto" w:fill="auto"/>
      <w:suppressAutoHyphens w:val="0"/>
      <w:bidi w:val="0"/>
      <w:spacing w:before="0" w:after="840" w:line="144" w:lineRule="auto"/>
      <w:ind w:left="0" w:right="0" w:firstLine="0"/>
      <w:jc w:val="left"/>
      <w:outlineLvl w:val="0"/>
    </w:pPr>
    <w:rPr>
      <w:rFonts w:ascii="Graphik" w:cs="Arial Unicode MS" w:hAnsi="Graphik" w:eastAsia="Arial Unicode MS"/>
      <w:b w:val="1"/>
      <w:bCs w:val="1"/>
      <w:i w:val="0"/>
      <w:iCs w:val="0"/>
      <w:caps w:val="1"/>
      <w:strike w:val="0"/>
      <w:dstrike w:val="0"/>
      <w:outline w:val="0"/>
      <w:color w:val="56c1fe"/>
      <w:spacing w:val="-44"/>
      <w:kern w:val="0"/>
      <w:position w:val="0"/>
      <w:sz w:val="110"/>
      <w:szCs w:val="110"/>
      <w:u w:val="none"/>
      <w:shd w:val="nil" w:color="auto" w:fill="auto"/>
      <w:vertAlign w:val="baseline"/>
      <w:lang w:val="en-US"/>
      <w14:textOutline>
        <w14:noFill/>
      </w14:textOutline>
      <w14:textFill>
        <w14:gradFill w14:flip="none" w14:rotWithShape="1">
          <w14:gsLst>
            <w14:gs w14:pos="0">
              <w14:srgbClr w14:val="56C1FF"/>
            </w14:gs>
            <w14:gs w14:pos="100000">
              <w14:srgbClr w14:val="001238"/>
            </w14:gs>
          </w14:gsLst>
          <w14:lin w14:ang="5400000" w14:scaled="0"/>
        </w14:gradFill>
      </w14:textFill>
    </w:rPr>
  </w:style>
  <w:style w:type="paragraph" w:styleId="Heading">
    <w:name w:val="Heading"/>
    <w:next w:val="Body"/>
    <w:pPr>
      <w:keepNext w:val="0"/>
      <w:keepLines w:val="0"/>
      <w:pageBreakBefore w:val="0"/>
      <w:widowControl w:val="1"/>
      <w:shd w:val="clear" w:color="auto" w:fill="auto"/>
      <w:suppressAutoHyphens w:val="0"/>
      <w:bidi w:val="0"/>
      <w:spacing w:before="0" w:after="360" w:line="168" w:lineRule="auto"/>
      <w:ind w:left="0" w:right="0" w:firstLine="0"/>
      <w:jc w:val="left"/>
      <w:outlineLvl w:val="0"/>
    </w:pPr>
    <w:rPr>
      <w:rFonts w:ascii="Graphik" w:cs="Graphik" w:hAnsi="Graphik" w:eastAsia="Graphik"/>
      <w:b w:val="1"/>
      <w:bCs w:val="1"/>
      <w:i w:val="0"/>
      <w:iCs w:val="0"/>
      <w:caps w:val="1"/>
      <w:strike w:val="0"/>
      <w:dstrike w:val="0"/>
      <w:outline w:val="0"/>
      <w:color w:val="266090"/>
      <w:spacing w:val="-11"/>
      <w:kern w:val="0"/>
      <w:position w:val="0"/>
      <w:sz w:val="40"/>
      <w:szCs w:val="40"/>
      <w:u w:val="none"/>
      <w:shd w:val="nil" w:color="auto" w:fill="auto"/>
      <w:vertAlign w:val="baseline"/>
      <w14:textOutline>
        <w14:noFill/>
      </w14:textOutline>
      <w14:textFill>
        <w14:solidFill>
          <w14:srgbClr w14:val="276091"/>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360" w:line="264" w:lineRule="auto"/>
      <w:ind w:left="0" w:right="0" w:firstLine="0"/>
      <w:jc w:val="left"/>
      <w:outlineLvl w:val="9"/>
    </w:pPr>
    <w:rPr>
      <w:rFonts w:ascii="Graphik" w:cs="Graphik" w:hAnsi="Graphik" w:eastAsia="Graphik"/>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numbering" w:styleId="Imported Style 1">
    <w:name w:val="Imported Style 1"/>
    <w:pPr>
      <w:numPr>
        <w:numId w:val="1"/>
      </w:numPr>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Graphik" w:cs="Arial Unicode MS" w:hAnsi="Graphik"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style>
  <w:style w:type="numbering" w:styleId="Imported Style 3">
    <w:name w:val="Imported Style 3"/>
    <w:pPr>
      <w:numPr>
        <w:numId w:val="3"/>
      </w:numPr>
    </w:pPr>
  </w:style>
  <w:style w:type="numbering" w:styleId="Imported Style 4">
    <w:name w:val="Imported Style 4"/>
    <w:pPr>
      <w:numPr>
        <w:numId w:val="5"/>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chart" Target="charts/chart1.xml"/><Relationship Id="rId11" Type="http://schemas.openxmlformats.org/officeDocument/2006/relationships/chart" Target="charts/chart2.xml"/><Relationship Id="rId12" Type="http://schemas.openxmlformats.org/officeDocument/2006/relationships/chart" Target="charts/chart3.xml"/><Relationship Id="rId13" Type="http://schemas.openxmlformats.org/officeDocument/2006/relationships/chart" Target="charts/chart4.xml"/><Relationship Id="rId14" Type="http://schemas.openxmlformats.org/officeDocument/2006/relationships/image" Target="media/image4.jpeg"/><Relationship Id="rId15" Type="http://schemas.openxmlformats.org/officeDocument/2006/relationships/chart" Target="charts/chart5.xml"/><Relationship Id="rId16" Type="http://schemas.openxmlformats.org/officeDocument/2006/relationships/image" Target="media/image2.png"/><Relationship Id="rId17" Type="http://schemas.openxmlformats.org/officeDocument/2006/relationships/chart" Target="charts/chart6.xml"/><Relationship Id="rId18" Type="http://schemas.openxmlformats.org/officeDocument/2006/relationships/chart" Target="charts/chart7.xml"/><Relationship Id="rId19" Type="http://schemas.openxmlformats.org/officeDocument/2006/relationships/chart" Target="charts/chart8.xml"/><Relationship Id="rId20" Type="http://schemas.openxmlformats.org/officeDocument/2006/relationships/chart" Target="charts/chart9.xml"/><Relationship Id="rId21" Type="http://schemas.openxmlformats.org/officeDocument/2006/relationships/image" Target="media/image1.tif"/><Relationship Id="rId22" Type="http://schemas.openxmlformats.org/officeDocument/2006/relationships/chart" Target="charts/chart10.xml"/><Relationship Id="rId23" Type="http://schemas.openxmlformats.org/officeDocument/2006/relationships/chart" Target="charts/chart11.xml"/><Relationship Id="rId24" Type="http://schemas.openxmlformats.org/officeDocument/2006/relationships/chart" Target="charts/chart12.xml"/><Relationship Id="rId25" Type="http://schemas.openxmlformats.org/officeDocument/2006/relationships/chart" Target="charts/chart13.xml"/><Relationship Id="rId26" Type="http://schemas.openxmlformats.org/officeDocument/2006/relationships/chart" Target="charts/chart14.xml"/><Relationship Id="rId27" Type="http://schemas.openxmlformats.org/officeDocument/2006/relationships/chart" Target="charts/chart15.xml"/><Relationship Id="rId28" Type="http://schemas.openxmlformats.org/officeDocument/2006/relationships/chart" Target="charts/chart16.xml"/><Relationship Id="rId29" Type="http://schemas.openxmlformats.org/officeDocument/2006/relationships/chart" Target="charts/chart17.xml"/><Relationship Id="rId30" Type="http://schemas.openxmlformats.org/officeDocument/2006/relationships/chart" Target="charts/chart18.xml"/><Relationship Id="rId31" Type="http://schemas.openxmlformats.org/officeDocument/2006/relationships/chart" Target="charts/chart19.xml"/><Relationship Id="rId32" Type="http://schemas.openxmlformats.org/officeDocument/2006/relationships/header" Target="header2.xml"/><Relationship Id="rId33" Type="http://schemas.openxmlformats.org/officeDocument/2006/relationships/numbering" Target="numbering.xml"/><Relationship Id="rId34" Type="http://schemas.openxmlformats.org/officeDocument/2006/relationships/theme" Target="theme/theme1.xml"/></Relationships>

</file>

<file path=word/charts/_rels/chart1.xml.rels><?xml version="1.0" encoding="UTF-8"?>
<Relationships xmlns="http://schemas.openxmlformats.org/package/2006/relationships"><Relationship Id="rId1" Type="http://schemas.openxmlformats.org/officeDocument/2006/relationships/package" Target="../embeddings/Microsoft_Excel_Sheet1.xlsx"/></Relationships>

</file>

<file path=word/charts/_rels/chart10.xml.rels><?xml version="1.0" encoding="UTF-8"?>
<Relationships xmlns="http://schemas.openxmlformats.org/package/2006/relationships"><Relationship Id="rId1" Type="http://schemas.openxmlformats.org/officeDocument/2006/relationships/package" Target="../embeddings/Microsoft_Excel_Sheet10.xlsx"/></Relationships>

</file>

<file path=word/charts/_rels/chart11.xml.rels><?xml version="1.0" encoding="UTF-8"?>
<Relationships xmlns="http://schemas.openxmlformats.org/package/2006/relationships"><Relationship Id="rId1" Type="http://schemas.openxmlformats.org/officeDocument/2006/relationships/package" Target="../embeddings/Microsoft_Excel_Sheet11.xlsx"/></Relationships>

</file>

<file path=word/charts/_rels/chart12.xml.rels><?xml version="1.0" encoding="UTF-8"?>
<Relationships xmlns="http://schemas.openxmlformats.org/package/2006/relationships"><Relationship Id="rId1" Type="http://schemas.openxmlformats.org/officeDocument/2006/relationships/package" Target="../embeddings/Microsoft_Excel_Sheet12.xlsx"/></Relationships>

</file>

<file path=word/charts/_rels/chart13.xml.rels><?xml version="1.0" encoding="UTF-8"?>
<Relationships xmlns="http://schemas.openxmlformats.org/package/2006/relationships"><Relationship Id="rId1" Type="http://schemas.openxmlformats.org/officeDocument/2006/relationships/package" Target="../embeddings/Microsoft_Excel_Sheet13.xlsx"/></Relationships>

</file>

<file path=word/charts/_rels/chart14.xml.rels><?xml version="1.0" encoding="UTF-8"?>
<Relationships xmlns="http://schemas.openxmlformats.org/package/2006/relationships"><Relationship Id="rId1" Type="http://schemas.openxmlformats.org/officeDocument/2006/relationships/package" Target="../embeddings/Microsoft_Excel_Sheet14.xlsx"/></Relationships>

</file>

<file path=word/charts/_rels/chart15.xml.rels><?xml version="1.0" encoding="UTF-8"?>
<Relationships xmlns="http://schemas.openxmlformats.org/package/2006/relationships"><Relationship Id="rId1" Type="http://schemas.openxmlformats.org/officeDocument/2006/relationships/package" Target="../embeddings/Microsoft_Excel_Sheet15.xlsx"/></Relationships>

</file>

<file path=word/charts/_rels/chart16.xml.rels><?xml version="1.0" encoding="UTF-8"?>
<Relationships xmlns="http://schemas.openxmlformats.org/package/2006/relationships"><Relationship Id="rId1" Type="http://schemas.openxmlformats.org/officeDocument/2006/relationships/package" Target="../embeddings/Microsoft_Excel_Sheet16.xlsx"/></Relationships>

</file>

<file path=word/charts/_rels/chart17.xml.rels><?xml version="1.0" encoding="UTF-8"?>
<Relationships xmlns="http://schemas.openxmlformats.org/package/2006/relationships"><Relationship Id="rId1" Type="http://schemas.openxmlformats.org/officeDocument/2006/relationships/package" Target="../embeddings/Microsoft_Excel_Sheet17.xlsx"/></Relationships>

</file>

<file path=word/charts/_rels/chart18.xml.rels><?xml version="1.0" encoding="UTF-8"?>
<Relationships xmlns="http://schemas.openxmlformats.org/package/2006/relationships"><Relationship Id="rId1" Type="http://schemas.openxmlformats.org/officeDocument/2006/relationships/package" Target="../embeddings/Microsoft_Excel_Sheet18.xlsx"/></Relationships>

</file>

<file path=word/charts/_rels/chart19.xml.rels><?xml version="1.0" encoding="UTF-8"?>
<Relationships xmlns="http://schemas.openxmlformats.org/package/2006/relationships"><Relationship Id="rId1" Type="http://schemas.openxmlformats.org/officeDocument/2006/relationships/package" Target="../embeddings/Microsoft_Excel_Sheet19.xlsx"/></Relationships>

</file>

<file path=word/charts/_rels/chart2.xml.rels><?xml version="1.0" encoding="UTF-8"?>
<Relationships xmlns="http://schemas.openxmlformats.org/package/2006/relationships"><Relationship Id="rId1" Type="http://schemas.openxmlformats.org/officeDocument/2006/relationships/package" Target="../embeddings/Microsoft_Excel_Sheet2.xlsx"/></Relationships>

</file>

<file path=word/charts/_rels/chart3.xml.rels><?xml version="1.0" encoding="UTF-8"?>
<Relationships xmlns="http://schemas.openxmlformats.org/package/2006/relationships"><Relationship Id="rId1" Type="http://schemas.openxmlformats.org/officeDocument/2006/relationships/package" Target="../embeddings/Microsoft_Excel_Sheet3.xlsx"/></Relationships>

</file>

<file path=word/charts/_rels/chart4.xml.rels><?xml version="1.0" encoding="UTF-8"?>
<Relationships xmlns="http://schemas.openxmlformats.org/package/2006/relationships"><Relationship Id="rId1" Type="http://schemas.openxmlformats.org/officeDocument/2006/relationships/package" Target="../embeddings/Microsoft_Excel_Sheet4.xlsx"/></Relationships>

</file>

<file path=word/charts/_rels/chart5.xml.rels><?xml version="1.0" encoding="UTF-8"?>
<Relationships xmlns="http://schemas.openxmlformats.org/package/2006/relationships"><Relationship Id="rId1" Type="http://schemas.openxmlformats.org/officeDocument/2006/relationships/package" Target="../embeddings/Microsoft_Excel_Sheet5.xlsx"/></Relationships>

</file>

<file path=word/charts/_rels/chart6.xml.rels><?xml version="1.0" encoding="UTF-8"?>
<Relationships xmlns="http://schemas.openxmlformats.org/package/2006/relationships"><Relationship Id="rId1" Type="http://schemas.openxmlformats.org/officeDocument/2006/relationships/package" Target="../embeddings/Microsoft_Excel_Sheet6.xlsx"/></Relationships>

</file>

<file path=word/charts/_rels/chart7.xml.rels><?xml version="1.0" encoding="UTF-8"?>
<Relationships xmlns="http://schemas.openxmlformats.org/package/2006/relationships"><Relationship Id="rId1" Type="http://schemas.openxmlformats.org/officeDocument/2006/relationships/package" Target="../embeddings/Microsoft_Excel_Sheet7.xlsx"/></Relationships>

</file>

<file path=word/charts/_rels/chart8.xml.rels><?xml version="1.0" encoding="UTF-8"?>
<Relationships xmlns="http://schemas.openxmlformats.org/package/2006/relationships"><Relationship Id="rId1" Type="http://schemas.openxmlformats.org/officeDocument/2006/relationships/package" Target="../embeddings/Microsoft_Excel_Sheet8.xlsx"/></Relationships>

</file>

<file path=word/charts/_rels/chart9.xml.rels><?xml version="1.0" encoding="UTF-8"?>
<Relationships xmlns="http://schemas.openxmlformats.org/package/2006/relationships"><Relationship Id="rId1" Type="http://schemas.openxmlformats.org/officeDocument/2006/relationships/package" Target="../embeddings/Microsoft_Excel_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roundedCorners val="0"/>
  <c:chart>
    <c:title>
      <c:tx>
        <c:rich>
          <a:bodyPr rot="0"/>
          <a:lstStyle/>
          <a:p>
            <a:pPr>
              <a:defRPr b="0" i="0" strike="noStrike" sz="1200" u="none">
                <a:solidFill>
                  <a:srgbClr val="000000"/>
                </a:solidFill>
                <a:latin typeface="Graphik"/>
              </a:defRPr>
            </a:pPr>
            <a:r>
              <a:rPr b="0" i="0" strike="noStrike" sz="1200" u="none">
                <a:solidFill>
                  <a:srgbClr val="000000"/>
                </a:solidFill>
                <a:latin typeface="Graphik"/>
              </a:rPr>
              <a:t>2021 Expenses
</a:t>
            </a:r>
          </a:p>
        </c:rich>
      </c:tx>
      <c:layout>
        <c:manualLayout>
          <c:xMode val="edge"/>
          <c:yMode val="edge"/>
          <c:x val="0.400794"/>
          <c:y val="0"/>
          <c:w val="0.198412"/>
          <c:h val="0.102857"/>
        </c:manualLayout>
      </c:layout>
      <c:overlay val="1"/>
      <c:spPr>
        <a:noFill/>
        <a:effectLst/>
      </c:spPr>
    </c:title>
    <c:autoTitleDeleted val="1"/>
    <c:plotArea>
      <c:layout>
        <c:manualLayout>
          <c:layoutTarget val="inner"/>
          <c:xMode val="edge"/>
          <c:yMode val="edge"/>
          <c:x val="0.0890057"/>
          <c:y val="0.102857"/>
          <c:w val="0.821989"/>
          <c:h val="0.818721"/>
        </c:manualLayout>
      </c:layout>
      <c:pieChart>
        <c:varyColors val="0"/>
        <c:ser>
          <c:idx val="0"/>
          <c:order val="0"/>
          <c:tx>
            <c:strRef>
              <c:f>Sheet1!$A$2</c:f>
              <c:strCache>
                <c:ptCount val="1"/>
                <c:pt idx="0">
                  <c:v>Column1</c:v>
                </c:pt>
              </c:strCache>
            </c:strRef>
          </c:tx>
          <c:spPr>
            <a:solidFill>
              <a:srgbClr val="24BA29"/>
            </a:solidFill>
            <a:ln w="12700" cap="flat">
              <a:noFill/>
              <a:miter lim="400000"/>
            </a:ln>
            <a:effectLst/>
          </c:spPr>
          <c:explosion val="0"/>
          <c:dPt>
            <c:idx val="0"/>
            <c:explosion val="0"/>
            <c:spPr>
              <a:solidFill>
                <a:srgbClr val="24BA29"/>
              </a:solidFill>
              <a:ln w="12700" cap="flat">
                <a:noFill/>
                <a:miter lim="400000"/>
              </a:ln>
              <a:effectLst/>
            </c:spPr>
          </c:dPt>
          <c:dPt>
            <c:idx val="1"/>
            <c:explosion val="0"/>
            <c:spPr>
              <a:solidFill>
                <a:schemeClr val="accent2">
                  <a:hueOff val="264202"/>
                  <a:lumOff val="-9371"/>
                </a:schemeClr>
              </a:solidFill>
              <a:ln w="12700" cap="flat">
                <a:noFill/>
                <a:miter lim="400000"/>
              </a:ln>
              <a:effectLst/>
            </c:spPr>
          </c:dPt>
          <c:dPt>
            <c:idx val="2"/>
            <c:explosion val="0"/>
            <c:spPr>
              <a:solidFill>
                <a:schemeClr val="accent4">
                  <a:hueOff val="3712597"/>
                  <a:satOff val="-23099"/>
                  <a:lumOff val="5802"/>
                </a:schemeClr>
              </a:solidFill>
              <a:ln w="12700" cap="flat">
                <a:noFill/>
                <a:miter lim="400000"/>
              </a:ln>
              <a:effectLst/>
            </c:spPr>
          </c:dPt>
          <c:dLbls>
            <c:dLbl>
              <c:idx val="0"/>
              <c:numFmt formatCode="#,##0" sourceLinked="0"/>
              <c:txPr>
                <a:bodyPr/>
                <a:lstStyle/>
                <a:p>
                  <a:pPr>
                    <a:defRPr b="0" i="0" strike="noStrike" sz="1200" u="none">
                      <a:solidFill>
                        <a:srgbClr val="FFFFFF"/>
                      </a:solidFill>
                      <a:latin typeface="Graphik"/>
                    </a:defRPr>
                  </a:pPr>
                </a:p>
              </c:txPr>
              <c:dLblPos val="inEnd"/>
              <c:showLegendKey val="0"/>
              <c:showVal val="1"/>
              <c:showCatName val="1"/>
              <c:showSerName val="0"/>
              <c:showPercent val="0"/>
              <c:showBubbleSize val="0"/>
            </c:dLbl>
            <c:dLbl>
              <c:idx val="1"/>
              <c:numFmt formatCode="#,##0" sourceLinked="0"/>
              <c:txPr>
                <a:bodyPr/>
                <a:lstStyle/>
                <a:p>
                  <a:pPr>
                    <a:defRPr b="0" i="0" strike="noStrike" sz="1200" u="none">
                      <a:solidFill>
                        <a:srgbClr val="FFFFFF"/>
                      </a:solidFill>
                      <a:latin typeface="Graphik"/>
                    </a:defRPr>
                  </a:pPr>
                </a:p>
              </c:txPr>
              <c:dLblPos val="inEnd"/>
              <c:showLegendKey val="0"/>
              <c:showVal val="1"/>
              <c:showCatName val="1"/>
              <c:showSerName val="0"/>
              <c:showPercent val="0"/>
              <c:showBubbleSize val="0"/>
            </c:dLbl>
            <c:dLbl>
              <c:idx val="2"/>
              <c:numFmt formatCode="#,##0" sourceLinked="0"/>
              <c:txPr>
                <a:bodyPr/>
                <a:lstStyle/>
                <a:p>
                  <a:pPr>
                    <a:defRPr b="0" i="0" strike="noStrike" sz="1200" u="none">
                      <a:solidFill>
                        <a:srgbClr val="FFFFFF"/>
                      </a:solidFill>
                      <a:latin typeface="Graphik"/>
                    </a:defRPr>
                  </a:pPr>
                </a:p>
              </c:txPr>
              <c:dLblPos val="inEnd"/>
              <c:showLegendKey val="0"/>
              <c:showVal val="1"/>
              <c:showCatName val="1"/>
              <c:showSerName val="0"/>
              <c:showPercent val="0"/>
              <c:showBubbleSize val="0"/>
            </c:dLbl>
            <c:numFmt formatCode="#,##0" sourceLinked="0"/>
            <c:txPr>
              <a:bodyPr/>
              <a:lstStyle/>
              <a:p>
                <a:pPr>
                  <a:defRPr b="0" i="0" strike="noStrike" sz="1200" u="none">
                    <a:solidFill>
                      <a:srgbClr val="FFFFFF"/>
                    </a:solidFill>
                    <a:latin typeface="Graphik"/>
                  </a:defRPr>
                </a:pPr>
              </a:p>
            </c:txPr>
            <c:dLblPos val="inEnd"/>
            <c:showLegendKey val="0"/>
            <c:showVal val="1"/>
            <c:showCatName val="1"/>
            <c:showSerName val="0"/>
            <c:showPercent val="0"/>
            <c:showBubbleSize val="0"/>
            <c:showLeaderLines val="1"/>
            <c:leaderLines>
              <c:spPr>
                <a:noFill/>
                <a:ln w="6350" cap="flat">
                  <a:solidFill>
                    <a:srgbClr val="000000"/>
                  </a:solidFill>
                  <a:prstDash val="solid"/>
                  <a:miter lim="400000"/>
                </a:ln>
                <a:effectLst/>
              </c:spPr>
            </c:leaderLines>
          </c:dLbls>
          <c:cat>
            <c:strRef>
              <c:f>Sheet1!$B$1:$D$1</c:f>
              <c:strCache>
                <c:ptCount val="3"/>
                <c:pt idx="0">
                  <c:v>Autopsies</c:v>
                </c:pt>
                <c:pt idx="1">
                  <c:v>Operating Expenses</c:v>
                </c:pt>
                <c:pt idx="2">
                  <c:v>Personnel</c:v>
                </c:pt>
              </c:strCache>
            </c:strRef>
          </c:cat>
          <c:val>
            <c:numRef>
              <c:f>Sheet1!$B$2:$D$2</c:f>
              <c:numCache>
                <c:ptCount val="3"/>
                <c:pt idx="0">
                  <c:v>416497.000000</c:v>
                </c:pt>
                <c:pt idx="1">
                  <c:v>90660.000000</c:v>
                </c:pt>
                <c:pt idx="2">
                  <c:v>465000.000000</c:v>
                </c:pt>
              </c:numCache>
            </c:numRef>
          </c:val>
        </c:ser>
        <c:firstSliceAng val="0"/>
      </c:pieChart>
      <c:spPr>
        <a:noFill/>
        <a:ln w="12700" cap="flat">
          <a:noFill/>
          <a:miter lim="400000"/>
        </a:ln>
        <a:effectLst/>
      </c:spPr>
    </c:plotArea>
    <c:legend>
      <c:legendPos val="b"/>
      <c:layout>
        <c:manualLayout>
          <c:xMode val="edge"/>
          <c:yMode val="edge"/>
          <c:x val="0"/>
          <c:y val="0.957262"/>
          <c:w val="1"/>
          <c:h val="0.0427382"/>
        </c:manualLayout>
      </c:layout>
      <c:overlay val="1"/>
      <c:spPr>
        <a:noFill/>
        <a:ln w="12700" cap="flat">
          <a:noFill/>
          <a:miter lim="400000"/>
        </a:ln>
        <a:effectLst/>
      </c:spPr>
      <c:txPr>
        <a:bodyPr rot="0"/>
        <a:lstStyle/>
        <a:p>
          <a:pPr>
            <a:defRPr b="0" i="0" strike="noStrike" sz="1000" u="none">
              <a:solidFill>
                <a:srgbClr val="000000"/>
              </a:solidFill>
              <a:latin typeface="Graphik"/>
            </a:defRPr>
          </a:pPr>
        </a:p>
      </c:txPr>
    </c:legend>
    <c:plotVisOnly val="1"/>
    <c:dispBlanksAs val="gap"/>
  </c:chart>
  <c:spPr>
    <a:noFill/>
    <a:ln>
      <a:noFill/>
    </a:ln>
    <a:effectLst/>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1"/>
  <c:roundedCorners val="0"/>
  <c:chart>
    <c:title>
      <c:tx>
        <c:rich>
          <a:bodyPr rot="0"/>
          <a:lstStyle/>
          <a:p>
            <a:pPr>
              <a:defRPr b="1" i="0" strike="noStrike" sz="1200" u="none">
                <a:solidFill>
                  <a:srgbClr val="000000"/>
                </a:solidFill>
                <a:latin typeface="Graphik"/>
              </a:defRPr>
            </a:pPr>
            <a:r>
              <a:rPr b="1" i="0" strike="noStrike" sz="1200" u="none">
                <a:solidFill>
                  <a:srgbClr val="000000"/>
                </a:solidFill>
                <a:latin typeface="Graphik"/>
              </a:rPr>
              <a:t>2021 ACCIDENTAL DEATHS
TOTAL:  153</a:t>
            </a:r>
          </a:p>
        </c:rich>
      </c:tx>
      <c:layout>
        <c:manualLayout>
          <c:xMode val="edge"/>
          <c:yMode val="edge"/>
          <c:x val="0.273051"/>
          <c:y val="0"/>
          <c:w val="0.453899"/>
          <c:h val="0.17756"/>
        </c:manualLayout>
      </c:layout>
      <c:overlay val="1"/>
      <c:spPr>
        <a:noFill/>
        <a:effectLst/>
      </c:spPr>
    </c:title>
    <c:autoTitleDeleted val="1"/>
    <c:plotArea>
      <c:layout>
        <c:manualLayout>
          <c:layoutTarget val="inner"/>
          <c:xMode val="edge"/>
          <c:yMode val="edge"/>
          <c:x val="0.0479259"/>
          <c:y val="0.17756"/>
          <c:w val="0.947074"/>
          <c:h val="0.738567"/>
        </c:manualLayout>
      </c:layout>
      <c:barChart>
        <c:barDir val="col"/>
        <c:grouping val="clustered"/>
        <c:varyColors val="0"/>
        <c:ser>
          <c:idx val="0"/>
          <c:order val="0"/>
          <c:tx>
            <c:strRef>
              <c:f>Sheet1!$B$1</c:f>
              <c:strCache>
                <c:ptCount val="1"/>
                <c:pt idx="0">
                  <c:v>Accidental Deaths</c:v>
                </c:pt>
              </c:strCache>
            </c:strRef>
          </c:tx>
          <c:spPr>
            <a:solidFill>
              <a:srgbClr val="51585F"/>
            </a:solidFill>
            <a:ln w="12700" cap="flat">
              <a:noFill/>
              <a:miter lim="400000"/>
            </a:ln>
            <a:effectLst/>
          </c:spPr>
          <c:invertIfNegative val="0"/>
          <c:dLbls>
            <c:numFmt formatCode="0" sourceLinked="0"/>
            <c:txPr>
              <a:bodyPr/>
              <a:lstStyle/>
              <a:p>
                <a:pPr>
                  <a:defRPr b="0" i="0" strike="noStrike" sz="1200" u="none">
                    <a:solidFill>
                      <a:srgbClr val="FFFFFF"/>
                    </a:solidFill>
                    <a:latin typeface="Graphik"/>
                  </a:defRPr>
                </a:pPr>
              </a:p>
            </c:txPr>
            <c:dLblPos val="inEnd"/>
            <c:showLegendKey val="0"/>
            <c:showVal val="1"/>
            <c:showCatName val="0"/>
            <c:showSerName val="0"/>
            <c:showPercent val="0"/>
            <c:showBubbleSize val="0"/>
            <c:showLeaderLines val="0"/>
          </c:dLbls>
          <c:cat>
            <c:strRef>
              <c:f>Sheet1!$A$2:$A$13</c:f>
              <c:strCache>
                <c:ptCount val="12"/>
                <c:pt idx="0">
                  <c:v>JAN</c:v>
                </c:pt>
                <c:pt idx="1">
                  <c:v>FEB</c:v>
                </c:pt>
                <c:pt idx="2">
                  <c:v>MAR</c:v>
                </c:pt>
                <c:pt idx="3">
                  <c:v>APR</c:v>
                </c:pt>
                <c:pt idx="4">
                  <c:v>MAY</c:v>
                </c:pt>
                <c:pt idx="5">
                  <c:v>JUNE</c:v>
                </c:pt>
                <c:pt idx="6">
                  <c:v>JULY</c:v>
                </c:pt>
                <c:pt idx="7">
                  <c:v>AUG</c:v>
                </c:pt>
                <c:pt idx="8">
                  <c:v>SEPT</c:v>
                </c:pt>
                <c:pt idx="9">
                  <c:v>OCT</c:v>
                </c:pt>
                <c:pt idx="10">
                  <c:v>NOV</c:v>
                </c:pt>
                <c:pt idx="11">
                  <c:v>DEC</c:v>
                </c:pt>
              </c:strCache>
            </c:strRef>
          </c:cat>
          <c:val>
            <c:numRef>
              <c:f>Sheet1!$B$2:$B$13</c:f>
              <c:numCache>
                <c:ptCount val="12"/>
                <c:pt idx="0">
                  <c:v>12.000000</c:v>
                </c:pt>
                <c:pt idx="1">
                  <c:v>13.000000</c:v>
                </c:pt>
                <c:pt idx="2">
                  <c:v>14.000000</c:v>
                </c:pt>
                <c:pt idx="3">
                  <c:v>13.000000</c:v>
                </c:pt>
                <c:pt idx="4">
                  <c:v>16.000000</c:v>
                </c:pt>
                <c:pt idx="5">
                  <c:v>20.000000</c:v>
                </c:pt>
                <c:pt idx="6">
                  <c:v>5.000000</c:v>
                </c:pt>
                <c:pt idx="7">
                  <c:v>9.000000</c:v>
                </c:pt>
                <c:pt idx="8">
                  <c:v>10.000000</c:v>
                </c:pt>
                <c:pt idx="9">
                  <c:v>14.000000</c:v>
                </c:pt>
                <c:pt idx="10">
                  <c:v>17.000000</c:v>
                </c:pt>
                <c:pt idx="11">
                  <c:v>10.000000</c:v>
                </c:pt>
              </c:numCache>
            </c:numRef>
          </c:val>
        </c:ser>
        <c:gapWidth val="40"/>
        <c:overlap val="-10"/>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000000"/>
            </a:solidFill>
            <a:prstDash val="solid"/>
            <a:miter lim="400000"/>
          </a:ln>
        </c:spPr>
        <c:txPr>
          <a:bodyPr rot="0"/>
          <a:lstStyle/>
          <a:p>
            <a:pPr>
              <a:defRPr b="0" i="0" strike="noStrike" sz="1000" u="none">
                <a:solidFill>
                  <a:srgbClr val="000000"/>
                </a:solidFill>
                <a:latin typeface="Graphik"/>
              </a:defRPr>
            </a:pPr>
          </a:p>
        </c:txPr>
        <c:crossAx val="2094734553"/>
        <c:crosses val="autoZero"/>
        <c:auto val="1"/>
        <c:lblAlgn val="ctr"/>
        <c:noMultiLvlLbl val="1"/>
      </c:catAx>
      <c:valAx>
        <c:axId val="2094734553"/>
        <c:scaling>
          <c:orientation val="minMax"/>
        </c:scaling>
        <c:delete val="0"/>
        <c:axPos val="l"/>
        <c:majorGridlines>
          <c:spPr>
            <a:ln w="6350" cap="flat">
              <a:solidFill>
                <a:srgbClr val="B8B8B8"/>
              </a:solidFill>
              <a:prstDash val="solid"/>
              <a:miter lim="400000"/>
            </a:ln>
          </c:spPr>
        </c:majorGridlines>
        <c:numFmt formatCode="0" sourceLinked="0"/>
        <c:majorTickMark val="none"/>
        <c:minorTickMark val="none"/>
        <c:tickLblPos val="nextTo"/>
        <c:spPr>
          <a:ln w="12700" cap="flat">
            <a:noFill/>
            <a:prstDash val="solid"/>
            <a:miter lim="400000"/>
          </a:ln>
        </c:spPr>
        <c:txPr>
          <a:bodyPr rot="0"/>
          <a:lstStyle/>
          <a:p>
            <a:pPr>
              <a:defRPr b="0" i="0" strike="noStrike" sz="1000" u="none">
                <a:solidFill>
                  <a:srgbClr val="000000"/>
                </a:solidFill>
                <a:latin typeface="Graphik"/>
              </a:defRPr>
            </a:pPr>
          </a:p>
        </c:txPr>
        <c:crossAx val="2094734552"/>
        <c:crosses val="autoZero"/>
        <c:crossBetween val="between"/>
        <c:majorUnit val="5"/>
        <c:minorUnit val="2.5"/>
      </c:valAx>
      <c:spPr>
        <a:noFill/>
        <a:ln w="12700" cap="flat">
          <a:noFill/>
          <a:miter lim="400000"/>
        </a:ln>
        <a:effectLst/>
      </c:spPr>
    </c:plotArea>
    <c:plotVisOnly val="1"/>
    <c:dispBlanksAs val="gap"/>
  </c:chart>
  <c:spPr>
    <a:noFill/>
    <a:ln>
      <a:noFill/>
    </a:ln>
    <a:effectLst/>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1"/>
  <c:roundedCorners val="0"/>
  <c:chart>
    <c:title>
      <c:tx>
        <c:rich>
          <a:bodyPr rot="0"/>
          <a:lstStyle/>
          <a:p>
            <a:pPr>
              <a:defRPr b="1" i="0" strike="noStrike" sz="1200" u="none">
                <a:solidFill>
                  <a:srgbClr val="000000"/>
                </a:solidFill>
                <a:latin typeface="Graphik"/>
              </a:defRPr>
            </a:pPr>
            <a:r>
              <a:rPr b="1" i="0" strike="noStrike" sz="1200" u="none">
                <a:solidFill>
                  <a:srgbClr val="000000"/>
                </a:solidFill>
                <a:latin typeface="Graphik"/>
              </a:rPr>
              <a:t>ACCIDENTAL DEATHS BY TYPE OF EVENT</a:t>
            </a:r>
          </a:p>
        </c:rich>
      </c:tx>
      <c:layout>
        <c:manualLayout>
          <c:xMode val="edge"/>
          <c:yMode val="edge"/>
          <c:x val="0.258965"/>
          <c:y val="0"/>
          <c:w val="0.482069"/>
          <c:h val="0.102304"/>
        </c:manualLayout>
      </c:layout>
      <c:overlay val="1"/>
      <c:spPr>
        <a:noFill/>
        <a:effectLst/>
      </c:spPr>
    </c:title>
    <c:autoTitleDeleted val="1"/>
    <c:plotArea>
      <c:layout>
        <c:manualLayout>
          <c:layoutTarget val="inner"/>
          <c:xMode val="edge"/>
          <c:yMode val="edge"/>
          <c:x val="0.0501052"/>
          <c:y val="0.102304"/>
          <c:w val="0.944895"/>
          <c:h val="0.628757"/>
        </c:manualLayout>
      </c:layout>
      <c:barChart>
        <c:barDir val="col"/>
        <c:grouping val="clustered"/>
        <c:varyColors val="0"/>
        <c:ser>
          <c:idx val="0"/>
          <c:order val="0"/>
          <c:tx>
            <c:strRef>
              <c:f>Sheet1!$B$1</c:f>
              <c:strCache>
                <c:ptCount val="1"/>
                <c:pt idx="0">
                  <c:v>Series 1</c:v>
                </c:pt>
              </c:strCache>
            </c:strRef>
          </c:tx>
          <c:spPr>
            <a:solidFill>
              <a:schemeClr val="accent3">
                <a:hueOff val="3534278"/>
                <a:satOff val="23024"/>
                <a:lumOff val="-14394"/>
              </a:schemeClr>
            </a:solidFill>
            <a:ln w="12700" cap="flat">
              <a:noFill/>
              <a:miter lim="400000"/>
            </a:ln>
            <a:effectLst/>
          </c:spPr>
          <c:invertIfNegative val="0"/>
          <c:dLbls>
            <c:numFmt formatCode="0" sourceLinked="0"/>
            <c:txPr>
              <a:bodyPr/>
              <a:lstStyle/>
              <a:p>
                <a:pPr>
                  <a:defRPr b="0" i="0" strike="noStrike" sz="1200" u="none">
                    <a:solidFill>
                      <a:srgbClr val="000000"/>
                    </a:solidFill>
                    <a:latin typeface="Graphik"/>
                  </a:defRPr>
                </a:pPr>
              </a:p>
            </c:txPr>
            <c:dLblPos val="inEnd"/>
            <c:showLegendKey val="0"/>
            <c:showVal val="1"/>
            <c:showCatName val="0"/>
            <c:showSerName val="0"/>
            <c:showPercent val="0"/>
            <c:showBubbleSize val="0"/>
            <c:showLeaderLines val="0"/>
          </c:dLbls>
          <c:cat>
            <c:strRef>
              <c:f>Sheet1!$A$2:$A$10</c:f>
              <c:strCache>
                <c:ptCount val="9"/>
                <c:pt idx="0">
                  <c:v>Gunshot</c:v>
                </c:pt>
                <c:pt idx="1">
                  <c:v>Hypothermia</c:v>
                </c:pt>
                <c:pt idx="2">
                  <c:v>Smoke Inhalation</c:v>
                </c:pt>
                <c:pt idx="3">
                  <c:v>Overdoses</c:v>
                </c:pt>
                <c:pt idx="4">
                  <c:v>Trauma</c:v>
                </c:pt>
                <c:pt idx="5">
                  <c:v>Drowning</c:v>
                </c:pt>
                <c:pt idx="6">
                  <c:v>Thermal Injuries</c:v>
                </c:pt>
                <c:pt idx="7">
                  <c:v>Asphyxiation</c:v>
                </c:pt>
                <c:pt idx="8">
                  <c:v>Other</c:v>
                </c:pt>
              </c:strCache>
            </c:strRef>
          </c:cat>
          <c:val>
            <c:numRef>
              <c:f>Sheet1!$B$2:$B$10</c:f>
              <c:numCache>
                <c:ptCount val="9"/>
                <c:pt idx="0">
                  <c:v>1.000000</c:v>
                </c:pt>
                <c:pt idx="1">
                  <c:v>1.000000</c:v>
                </c:pt>
                <c:pt idx="2">
                  <c:v>6.000000</c:v>
                </c:pt>
                <c:pt idx="3">
                  <c:v>71.000000</c:v>
                </c:pt>
                <c:pt idx="4">
                  <c:v>52.000000</c:v>
                </c:pt>
                <c:pt idx="5">
                  <c:v>4.000000</c:v>
                </c:pt>
                <c:pt idx="6">
                  <c:v>1.000000</c:v>
                </c:pt>
                <c:pt idx="7">
                  <c:v>2.000000</c:v>
                </c:pt>
                <c:pt idx="8">
                  <c:v>15.000000</c:v>
                </c:pt>
              </c:numCache>
            </c:numRef>
          </c:val>
        </c:ser>
        <c:gapWidth val="40"/>
        <c:overlap val="-10"/>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000000"/>
            </a:solidFill>
            <a:prstDash val="solid"/>
            <a:miter lim="400000"/>
          </a:ln>
        </c:spPr>
        <c:txPr>
          <a:bodyPr rot="-18900000"/>
          <a:lstStyle/>
          <a:p>
            <a:pPr>
              <a:defRPr b="0" i="0" strike="noStrike" sz="1000" u="none">
                <a:solidFill>
                  <a:srgbClr val="000000"/>
                </a:solidFill>
                <a:latin typeface="Graphik"/>
              </a:defRPr>
            </a:pPr>
          </a:p>
        </c:txPr>
        <c:crossAx val="2094734553"/>
        <c:crosses val="autoZero"/>
        <c:auto val="1"/>
        <c:lblAlgn val="ctr"/>
        <c:noMultiLvlLbl val="1"/>
      </c:catAx>
      <c:valAx>
        <c:axId val="2094734553"/>
        <c:scaling>
          <c:orientation val="minMax"/>
        </c:scaling>
        <c:delete val="0"/>
        <c:axPos val="l"/>
        <c:majorGridlines>
          <c:spPr>
            <a:ln w="6350" cap="flat">
              <a:solidFill>
                <a:srgbClr val="B8B8B8"/>
              </a:solidFill>
              <a:prstDash val="solid"/>
              <a:miter lim="400000"/>
            </a:ln>
          </c:spPr>
        </c:majorGridlines>
        <c:numFmt formatCode="0" sourceLinked="0"/>
        <c:majorTickMark val="none"/>
        <c:minorTickMark val="none"/>
        <c:tickLblPos val="nextTo"/>
        <c:spPr>
          <a:ln w="12700" cap="flat">
            <a:noFill/>
            <a:prstDash val="solid"/>
            <a:miter lim="400000"/>
          </a:ln>
        </c:spPr>
        <c:txPr>
          <a:bodyPr rot="0"/>
          <a:lstStyle/>
          <a:p>
            <a:pPr>
              <a:defRPr b="0" i="0" strike="noStrike" sz="1000" u="none">
                <a:solidFill>
                  <a:srgbClr val="000000"/>
                </a:solidFill>
                <a:latin typeface="Graphik"/>
              </a:defRPr>
            </a:pPr>
          </a:p>
        </c:txPr>
        <c:crossAx val="2094734552"/>
        <c:crosses val="autoZero"/>
        <c:crossBetween val="between"/>
        <c:majorUnit val="20"/>
        <c:minorUnit val="10"/>
      </c:valAx>
      <c:spPr>
        <a:noFill/>
        <a:ln w="12700" cap="flat">
          <a:noFill/>
          <a:miter lim="400000"/>
        </a:ln>
        <a:effectLst/>
      </c:spPr>
    </c:plotArea>
    <c:plotVisOnly val="1"/>
    <c:dispBlanksAs val="gap"/>
  </c:chart>
  <c:spPr>
    <a:noFill/>
    <a:ln>
      <a:noFill/>
    </a:ln>
    <a:effectLst/>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1"/>
  <c:roundedCorners val="0"/>
  <c:chart>
    <c:title>
      <c:tx>
        <c:rich>
          <a:bodyPr rot="0"/>
          <a:lstStyle/>
          <a:p>
            <a:pPr>
              <a:defRPr b="0" i="0" strike="noStrike" sz="1200" u="none">
                <a:solidFill>
                  <a:srgbClr val="000000"/>
                </a:solidFill>
                <a:latin typeface="Graphik"/>
              </a:defRPr>
            </a:pPr>
            <a:r>
              <a:rPr b="0" i="0" strike="noStrike" sz="1200" u="none">
                <a:solidFill>
                  <a:srgbClr val="000000"/>
                </a:solidFill>
                <a:latin typeface="Graphik"/>
              </a:rPr>
              <a:t>HOMICIDES BY YEAR</a:t>
            </a:r>
          </a:p>
        </c:rich>
      </c:tx>
      <c:layout>
        <c:manualLayout>
          <c:xMode val="edge"/>
          <c:yMode val="edge"/>
          <c:x val="0.384707"/>
          <c:y val="0"/>
          <c:w val="0.230586"/>
          <c:h val="0.103643"/>
        </c:manualLayout>
      </c:layout>
      <c:overlay val="1"/>
      <c:spPr>
        <a:noFill/>
        <a:effectLst/>
      </c:spPr>
    </c:title>
    <c:autoTitleDeleted val="1"/>
    <c:plotArea>
      <c:layout>
        <c:manualLayout>
          <c:layoutTarget val="inner"/>
          <c:xMode val="edge"/>
          <c:yMode val="edge"/>
          <c:x val="0.0488929"/>
          <c:y val="0.103643"/>
          <c:w val="0.946107"/>
          <c:h val="0.766818"/>
        </c:manualLayout>
      </c:layout>
      <c:barChart>
        <c:barDir val="col"/>
        <c:grouping val="clustered"/>
        <c:varyColors val="0"/>
        <c:ser>
          <c:idx val="0"/>
          <c:order val="0"/>
          <c:tx>
            <c:strRef>
              <c:f>Sheet1!$B$1</c:f>
              <c:strCache>
                <c:ptCount val="1"/>
                <c:pt idx="0">
                  <c:v>Year</c:v>
                </c:pt>
              </c:strCache>
            </c:strRef>
          </c:tx>
          <c:spPr>
            <a:solidFill>
              <a:schemeClr val="accent4"/>
            </a:solidFill>
            <a:ln w="12700" cap="flat">
              <a:noFill/>
              <a:miter lim="400000"/>
            </a:ln>
            <a:effectLst/>
          </c:spPr>
          <c:invertIfNegative val="0"/>
          <c:dLbls>
            <c:numFmt formatCode="0" sourceLinked="0"/>
            <c:txPr>
              <a:bodyPr/>
              <a:lstStyle/>
              <a:p>
                <a:pPr>
                  <a:defRPr b="0" i="0" strike="noStrike" sz="1200" u="none">
                    <a:solidFill>
                      <a:srgbClr val="000000"/>
                    </a:solidFill>
                    <a:latin typeface="Graphik"/>
                  </a:defRPr>
                </a:pPr>
              </a:p>
            </c:txPr>
            <c:dLblPos val="inEnd"/>
            <c:showLegendKey val="0"/>
            <c:showVal val="1"/>
            <c:showCatName val="0"/>
            <c:showSerName val="0"/>
            <c:showPercent val="0"/>
            <c:showBubbleSize val="0"/>
            <c:showLeaderLines val="0"/>
          </c:dLbls>
          <c:cat>
            <c:strRef>
              <c:f>Sheet1!$A$2:$A$9</c:f>
              <c:strCache>
                <c:ptCount val="8"/>
                <c:pt idx="0">
                  <c:v>2014</c:v>
                </c:pt>
                <c:pt idx="1">
                  <c:v>2015</c:v>
                </c:pt>
                <c:pt idx="2">
                  <c:v>2016</c:v>
                </c:pt>
                <c:pt idx="3">
                  <c:v>2017</c:v>
                </c:pt>
                <c:pt idx="4">
                  <c:v>2018</c:v>
                </c:pt>
                <c:pt idx="5">
                  <c:v>2019</c:v>
                </c:pt>
                <c:pt idx="6">
                  <c:v>2020</c:v>
                </c:pt>
                <c:pt idx="7">
                  <c:v>2021</c:v>
                </c:pt>
              </c:strCache>
            </c:strRef>
          </c:cat>
          <c:val>
            <c:numRef>
              <c:f>Sheet1!$B$2:$B$9</c:f>
              <c:numCache>
                <c:ptCount val="8"/>
                <c:pt idx="0">
                  <c:v>18.000000</c:v>
                </c:pt>
                <c:pt idx="1">
                  <c:v>17.000000</c:v>
                </c:pt>
                <c:pt idx="2">
                  <c:v>13.000000</c:v>
                </c:pt>
                <c:pt idx="3">
                  <c:v>16.000000</c:v>
                </c:pt>
                <c:pt idx="4">
                  <c:v>18.000000</c:v>
                </c:pt>
                <c:pt idx="5">
                  <c:v>25.000000</c:v>
                </c:pt>
                <c:pt idx="6">
                  <c:v>23.000000</c:v>
                </c:pt>
                <c:pt idx="7">
                  <c:v>26.000000</c:v>
                </c:pt>
              </c:numCache>
            </c:numRef>
          </c:val>
        </c:ser>
        <c:gapWidth val="40"/>
        <c:overlap val="-10"/>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000000"/>
            </a:solidFill>
            <a:prstDash val="solid"/>
            <a:miter lim="400000"/>
          </a:ln>
        </c:spPr>
        <c:txPr>
          <a:bodyPr rot="0"/>
          <a:lstStyle/>
          <a:p>
            <a:pPr>
              <a:defRPr b="0" i="0" strike="noStrike" sz="1000" u="none">
                <a:solidFill>
                  <a:srgbClr val="000000"/>
                </a:solidFill>
                <a:latin typeface="Graphik"/>
              </a:defRPr>
            </a:pPr>
          </a:p>
        </c:txPr>
        <c:crossAx val="2094734553"/>
        <c:crosses val="autoZero"/>
        <c:auto val="1"/>
        <c:lblAlgn val="ctr"/>
        <c:noMultiLvlLbl val="1"/>
      </c:catAx>
      <c:valAx>
        <c:axId val="2094734553"/>
        <c:scaling>
          <c:orientation val="minMax"/>
        </c:scaling>
        <c:delete val="0"/>
        <c:axPos val="l"/>
        <c:majorGridlines>
          <c:spPr>
            <a:ln w="6350" cap="flat">
              <a:solidFill>
                <a:srgbClr val="B8B8B8"/>
              </a:solidFill>
              <a:prstDash val="solid"/>
              <a:miter lim="400000"/>
            </a:ln>
          </c:spPr>
        </c:majorGridlines>
        <c:numFmt formatCode="0" sourceLinked="0"/>
        <c:majorTickMark val="none"/>
        <c:minorTickMark val="none"/>
        <c:tickLblPos val="nextTo"/>
        <c:spPr>
          <a:ln w="12700" cap="flat">
            <a:noFill/>
            <a:prstDash val="solid"/>
            <a:miter lim="400000"/>
          </a:ln>
        </c:spPr>
        <c:txPr>
          <a:bodyPr rot="0"/>
          <a:lstStyle/>
          <a:p>
            <a:pPr>
              <a:defRPr b="0" i="0" strike="noStrike" sz="1000" u="none">
                <a:solidFill>
                  <a:srgbClr val="000000"/>
                </a:solidFill>
                <a:latin typeface="Graphik"/>
              </a:defRPr>
            </a:pPr>
          </a:p>
        </c:txPr>
        <c:crossAx val="2094734552"/>
        <c:crosses val="autoZero"/>
        <c:crossBetween val="between"/>
        <c:majorUnit val="6.5"/>
        <c:minorUnit val="3.25"/>
      </c:valAx>
      <c:spPr>
        <a:noFill/>
        <a:ln w="12700" cap="flat">
          <a:noFill/>
          <a:miter lim="400000"/>
        </a:ln>
        <a:effectLst/>
      </c:spPr>
    </c:plotArea>
    <c:legend>
      <c:legendPos val="b"/>
      <c:layout>
        <c:manualLayout>
          <c:xMode val="edge"/>
          <c:yMode val="edge"/>
          <c:x val="0.478076"/>
          <c:y val="0.941044"/>
          <c:w val="0.0962148"/>
          <c:h val="0.0589555"/>
        </c:manualLayout>
      </c:layout>
      <c:overlay val="1"/>
      <c:spPr>
        <a:noFill/>
        <a:ln w="12700" cap="flat">
          <a:noFill/>
          <a:miter lim="400000"/>
        </a:ln>
        <a:effectLst/>
      </c:spPr>
      <c:txPr>
        <a:bodyPr rot="0"/>
        <a:lstStyle/>
        <a:p>
          <a:pPr>
            <a:defRPr b="0" i="0" strike="noStrike" sz="1000" u="none">
              <a:solidFill>
                <a:srgbClr val="000000"/>
              </a:solidFill>
              <a:latin typeface="Graphik"/>
            </a:defRPr>
          </a:pPr>
        </a:p>
      </c:txPr>
    </c:legend>
    <c:plotVisOnly val="1"/>
    <c:dispBlanksAs val="gap"/>
  </c:chart>
  <c:spPr>
    <a:noFill/>
    <a:ln>
      <a:noFill/>
    </a:ln>
    <a:effectLst/>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1"/>
  <c:roundedCorners val="0"/>
  <c:chart>
    <c:title>
      <c:tx>
        <c:rich>
          <a:bodyPr rot="0"/>
          <a:lstStyle/>
          <a:p>
            <a:pPr>
              <a:defRPr b="1" i="0" strike="noStrike" sz="1200" u="none">
                <a:solidFill>
                  <a:srgbClr val="000000"/>
                </a:solidFill>
                <a:latin typeface="Graphik"/>
              </a:defRPr>
            </a:pPr>
            <a:r>
              <a:rPr b="1" i="0" strike="noStrike" sz="1200" u="none">
                <a:solidFill>
                  <a:srgbClr val="000000"/>
                </a:solidFill>
                <a:latin typeface="Graphik"/>
              </a:rPr>
              <a:t>HOMICIDES BY GENDER, AGE, RACE</a:t>
            </a:r>
          </a:p>
        </c:rich>
      </c:tx>
      <c:layout>
        <c:manualLayout>
          <c:xMode val="edge"/>
          <c:yMode val="edge"/>
          <c:x val="0.285614"/>
          <c:y val="0"/>
          <c:w val="0.428772"/>
          <c:h val="0.0854343"/>
        </c:manualLayout>
      </c:layout>
      <c:overlay val="1"/>
      <c:spPr>
        <a:noFill/>
        <a:effectLst/>
      </c:spPr>
    </c:title>
    <c:autoTitleDeleted val="1"/>
    <c:plotArea>
      <c:layout>
        <c:manualLayout>
          <c:layoutTarget val="inner"/>
          <c:xMode val="edge"/>
          <c:yMode val="edge"/>
          <c:x val="0.0506463"/>
          <c:y val="0.0854343"/>
          <c:w val="0.944354"/>
          <c:h val="0.767294"/>
        </c:manualLayout>
      </c:layout>
      <c:barChart>
        <c:barDir val="col"/>
        <c:grouping val="clustered"/>
        <c:varyColors val="0"/>
        <c:ser>
          <c:idx val="0"/>
          <c:order val="0"/>
          <c:tx>
            <c:strRef>
              <c:f>Sheet1!$B$1</c:f>
              <c:strCache>
                <c:ptCount val="1"/>
                <c:pt idx="0">
                  <c:v>Sex</c:v>
                </c:pt>
              </c:strCache>
            </c:strRef>
          </c:tx>
          <c:spPr>
            <a:solidFill>
              <a:srgbClr val="236DFF"/>
            </a:solidFill>
            <a:ln w="12700" cap="flat">
              <a:noFill/>
              <a:miter lim="400000"/>
            </a:ln>
            <a:effectLst/>
          </c:spPr>
          <c:invertIfNegative val="0"/>
          <c:dLbls>
            <c:numFmt formatCode="0" sourceLinked="0"/>
            <c:txPr>
              <a:bodyPr/>
              <a:lstStyle/>
              <a:p>
                <a:pPr>
                  <a:defRPr b="0" i="0" strike="noStrike" sz="1200" u="none">
                    <a:solidFill>
                      <a:srgbClr val="000000"/>
                    </a:solidFill>
                    <a:latin typeface="Graphik"/>
                  </a:defRPr>
                </a:pPr>
              </a:p>
            </c:txPr>
            <c:dLblPos val="inEnd"/>
            <c:showLegendKey val="0"/>
            <c:showVal val="1"/>
            <c:showCatName val="0"/>
            <c:showSerName val="0"/>
            <c:showPercent val="0"/>
            <c:showBubbleSize val="0"/>
            <c:showLeaderLines val="0"/>
          </c:dLbls>
          <c:cat>
            <c:strRef>
              <c:f>Sheet1!$A$2:$A$9</c:f>
              <c:strCache>
                <c:ptCount val="8"/>
                <c:pt idx="0">
                  <c:v>Male</c:v>
                </c:pt>
                <c:pt idx="1">
                  <c:v>Female</c:v>
                </c:pt>
                <c:pt idx="2">
                  <c:v>0-25 yrs</c:v>
                </c:pt>
                <c:pt idx="3">
                  <c:v>26-50 yrs</c:v>
                </c:pt>
                <c:pt idx="4">
                  <c:v>Above 51 </c:v>
                </c:pt>
                <c:pt idx="5">
                  <c:v>White</c:v>
                </c:pt>
                <c:pt idx="6">
                  <c:v>Hispanic</c:v>
                </c:pt>
                <c:pt idx="7">
                  <c:v>Black</c:v>
                </c:pt>
              </c:strCache>
            </c:strRef>
          </c:cat>
          <c:val>
            <c:numRef>
              <c:f>Sheet1!$B$2:$B$9</c:f>
              <c:numCache>
                <c:ptCount val="2"/>
                <c:pt idx="0">
                  <c:v>23.000000</c:v>
                </c:pt>
                <c:pt idx="1">
                  <c:v>3.000000</c:v>
                </c:pt>
              </c:numCache>
            </c:numRef>
          </c:val>
        </c:ser>
        <c:ser>
          <c:idx val="1"/>
          <c:order val="1"/>
          <c:tx>
            <c:strRef>
              <c:f>Sheet1!$C$1</c:f>
              <c:strCache>
                <c:ptCount val="1"/>
                <c:pt idx="0">
                  <c:v>Age</c:v>
                </c:pt>
              </c:strCache>
            </c:strRef>
          </c:tx>
          <c:spPr>
            <a:solidFill>
              <a:schemeClr val="accent3">
                <a:hueOff val="3534278"/>
                <a:satOff val="23024"/>
                <a:lumOff val="-14394"/>
              </a:schemeClr>
            </a:solidFill>
            <a:ln w="12700" cap="flat">
              <a:noFill/>
              <a:miter lim="400000"/>
            </a:ln>
            <a:effectLst/>
          </c:spPr>
          <c:invertIfNegative val="0"/>
          <c:dLbls>
            <c:numFmt formatCode="0" sourceLinked="0"/>
            <c:txPr>
              <a:bodyPr/>
              <a:lstStyle/>
              <a:p>
                <a:pPr>
                  <a:defRPr b="0" i="0" strike="noStrike" sz="1200" u="none">
                    <a:solidFill>
                      <a:srgbClr val="000000"/>
                    </a:solidFill>
                    <a:latin typeface="Graphik"/>
                  </a:defRPr>
                </a:pPr>
              </a:p>
            </c:txPr>
            <c:dLblPos val="inEnd"/>
            <c:showLegendKey val="0"/>
            <c:showVal val="1"/>
            <c:showCatName val="0"/>
            <c:showSerName val="0"/>
            <c:showPercent val="0"/>
            <c:showBubbleSize val="0"/>
            <c:showLeaderLines val="0"/>
          </c:dLbls>
          <c:cat>
            <c:strRef>
              <c:f>Sheet1!$A$2:$A$9</c:f>
              <c:strCache>
                <c:ptCount val="8"/>
                <c:pt idx="0">
                  <c:v>Male</c:v>
                </c:pt>
                <c:pt idx="1">
                  <c:v>Female</c:v>
                </c:pt>
                <c:pt idx="2">
                  <c:v>0-25 yrs</c:v>
                </c:pt>
                <c:pt idx="3">
                  <c:v>26-50 yrs</c:v>
                </c:pt>
                <c:pt idx="4">
                  <c:v>Above 51 </c:v>
                </c:pt>
                <c:pt idx="5">
                  <c:v>White</c:v>
                </c:pt>
                <c:pt idx="6">
                  <c:v>Hispanic</c:v>
                </c:pt>
                <c:pt idx="7">
                  <c:v>Black</c:v>
                </c:pt>
              </c:strCache>
            </c:strRef>
          </c:cat>
          <c:val>
            <c:numRef>
              <c:f>Sheet1!$C$2:$C$9</c:f>
              <c:numCache>
                <c:ptCount val="3"/>
                <c:pt idx="2">
                  <c:v>3.000000</c:v>
                </c:pt>
                <c:pt idx="3">
                  <c:v>16.000000</c:v>
                </c:pt>
                <c:pt idx="4">
                  <c:v>7.000000</c:v>
                </c:pt>
              </c:numCache>
            </c:numRef>
          </c:val>
        </c:ser>
        <c:ser>
          <c:idx val="2"/>
          <c:order val="2"/>
          <c:tx>
            <c:strRef>
              <c:f>Sheet1!$D$1</c:f>
              <c:strCache>
                <c:ptCount val="1"/>
                <c:pt idx="0">
                  <c:v>Race</c:v>
                </c:pt>
              </c:strCache>
            </c:strRef>
          </c:tx>
          <c:spPr>
            <a:solidFill>
              <a:srgbClr val="28BA29"/>
            </a:solidFill>
            <a:ln w="12700" cap="flat">
              <a:noFill/>
              <a:miter lim="400000"/>
            </a:ln>
            <a:effectLst/>
          </c:spPr>
          <c:invertIfNegative val="0"/>
          <c:dLbls>
            <c:numFmt formatCode="0" sourceLinked="0"/>
            <c:txPr>
              <a:bodyPr/>
              <a:lstStyle/>
              <a:p>
                <a:pPr>
                  <a:defRPr b="0" i="0" strike="noStrike" sz="1200" u="none">
                    <a:solidFill>
                      <a:srgbClr val="000000"/>
                    </a:solidFill>
                    <a:latin typeface="Graphik"/>
                  </a:defRPr>
                </a:pPr>
              </a:p>
            </c:txPr>
            <c:dLblPos val="inEnd"/>
            <c:showLegendKey val="0"/>
            <c:showVal val="1"/>
            <c:showCatName val="0"/>
            <c:showSerName val="0"/>
            <c:showPercent val="0"/>
            <c:showBubbleSize val="0"/>
            <c:showLeaderLines val="0"/>
          </c:dLbls>
          <c:cat>
            <c:strRef>
              <c:f>Sheet1!$A$2:$A$9</c:f>
              <c:strCache>
                <c:ptCount val="8"/>
                <c:pt idx="0">
                  <c:v>Male</c:v>
                </c:pt>
                <c:pt idx="1">
                  <c:v>Female</c:v>
                </c:pt>
                <c:pt idx="2">
                  <c:v>0-25 yrs</c:v>
                </c:pt>
                <c:pt idx="3">
                  <c:v>26-50 yrs</c:v>
                </c:pt>
                <c:pt idx="4">
                  <c:v>Above 51 </c:v>
                </c:pt>
                <c:pt idx="5">
                  <c:v>White</c:v>
                </c:pt>
                <c:pt idx="6">
                  <c:v>Hispanic</c:v>
                </c:pt>
                <c:pt idx="7">
                  <c:v>Black</c:v>
                </c:pt>
              </c:strCache>
            </c:strRef>
          </c:cat>
          <c:val>
            <c:numRef>
              <c:f>Sheet1!$D$2:$D$9</c:f>
              <c:numCache>
                <c:ptCount val="3"/>
                <c:pt idx="5">
                  <c:v>9.000000</c:v>
                </c:pt>
                <c:pt idx="6">
                  <c:v>15.000000</c:v>
                </c:pt>
                <c:pt idx="7">
                  <c:v>1.000000</c:v>
                </c:pt>
              </c:numCache>
            </c:numRef>
          </c:val>
        </c:ser>
        <c:gapWidth val="40"/>
        <c:overlap val="-10"/>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000000"/>
            </a:solidFill>
            <a:prstDash val="solid"/>
            <a:miter lim="400000"/>
          </a:ln>
        </c:spPr>
        <c:txPr>
          <a:bodyPr rot="0"/>
          <a:lstStyle/>
          <a:p>
            <a:pPr>
              <a:defRPr b="0" i="0" strike="noStrike" sz="1000" u="none">
                <a:solidFill>
                  <a:srgbClr val="000000"/>
                </a:solidFill>
                <a:latin typeface="Graphik"/>
              </a:defRPr>
            </a:pPr>
          </a:p>
        </c:txPr>
        <c:crossAx val="2094734553"/>
        <c:crosses val="autoZero"/>
        <c:auto val="1"/>
        <c:lblAlgn val="ctr"/>
        <c:noMultiLvlLbl val="1"/>
      </c:catAx>
      <c:valAx>
        <c:axId val="2094734553"/>
        <c:scaling>
          <c:orientation val="minMax"/>
        </c:scaling>
        <c:delete val="0"/>
        <c:axPos val="l"/>
        <c:majorGridlines>
          <c:spPr>
            <a:ln w="6350" cap="flat">
              <a:solidFill>
                <a:srgbClr val="B8B8B8"/>
              </a:solidFill>
              <a:prstDash val="solid"/>
              <a:miter lim="400000"/>
            </a:ln>
          </c:spPr>
        </c:majorGridlines>
        <c:numFmt formatCode="0" sourceLinked="0"/>
        <c:majorTickMark val="none"/>
        <c:minorTickMark val="none"/>
        <c:tickLblPos val="nextTo"/>
        <c:spPr>
          <a:ln w="12700" cap="flat">
            <a:noFill/>
            <a:prstDash val="solid"/>
            <a:miter lim="400000"/>
          </a:ln>
        </c:spPr>
        <c:txPr>
          <a:bodyPr rot="0"/>
          <a:lstStyle/>
          <a:p>
            <a:pPr>
              <a:defRPr b="0" i="0" strike="noStrike" sz="1000" u="none">
                <a:solidFill>
                  <a:srgbClr val="000000"/>
                </a:solidFill>
                <a:latin typeface="Graphik"/>
              </a:defRPr>
            </a:pPr>
          </a:p>
        </c:txPr>
        <c:crossAx val="2094734552"/>
        <c:crosses val="autoZero"/>
        <c:crossBetween val="between"/>
        <c:majorUnit val="7.5"/>
        <c:minorUnit val="3.75"/>
      </c:valAx>
      <c:spPr>
        <a:noFill/>
        <a:ln w="12700" cap="flat">
          <a:noFill/>
          <a:miter lim="400000"/>
        </a:ln>
        <a:effectLst/>
      </c:spPr>
    </c:plotArea>
    <c:legend>
      <c:legendPos val="b"/>
      <c:layout>
        <c:manualLayout>
          <c:xMode val="edge"/>
          <c:yMode val="edge"/>
          <c:x val="0.393638"/>
          <c:y val="0.910912"/>
          <c:w val="0.243653"/>
          <c:h val="0.0890881"/>
        </c:manualLayout>
      </c:layout>
      <c:overlay val="1"/>
      <c:spPr>
        <a:noFill/>
        <a:ln w="12700" cap="flat">
          <a:noFill/>
          <a:miter lim="400000"/>
        </a:ln>
        <a:effectLst/>
      </c:spPr>
      <c:txPr>
        <a:bodyPr rot="0"/>
        <a:lstStyle/>
        <a:p>
          <a:pPr>
            <a:defRPr b="0" i="0" strike="noStrike" sz="1000" u="none">
              <a:solidFill>
                <a:srgbClr val="000000"/>
              </a:solidFill>
              <a:latin typeface="Graphik"/>
            </a:defRPr>
          </a:pPr>
        </a:p>
      </c:txPr>
    </c:legend>
    <c:plotVisOnly val="1"/>
    <c:dispBlanksAs val="gap"/>
  </c:chart>
  <c:spPr>
    <a:noFill/>
    <a:ln>
      <a:noFill/>
    </a:ln>
    <a:effectLst/>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1"/>
  <c:roundedCorners val="0"/>
  <c:chart>
    <c:autoTitleDeleted val="1"/>
    <c:plotArea>
      <c:layout>
        <c:manualLayout>
          <c:layoutTarget val="inner"/>
          <c:xMode val="edge"/>
          <c:yMode val="edge"/>
          <c:x val="0.125504"/>
          <c:y val="0.120176"/>
          <c:w val="0.748993"/>
          <c:h val="0.704696"/>
        </c:manualLayout>
      </c:layout>
      <c:pieChart>
        <c:varyColors val="0"/>
        <c:ser>
          <c:idx val="0"/>
          <c:order val="0"/>
          <c:tx>
            <c:strRef>
              <c:f>Sheet1!$A$2</c:f>
              <c:strCache>
                <c:ptCount val="1"/>
                <c:pt idx="0">
                  <c:v>Method</c:v>
                </c:pt>
              </c:strCache>
            </c:strRef>
          </c:tx>
          <c:spPr>
            <a:solidFill>
              <a:srgbClr val="236DFF"/>
            </a:solidFill>
            <a:ln w="12700" cap="flat">
              <a:noFill/>
              <a:miter lim="400000"/>
            </a:ln>
            <a:effectLst/>
          </c:spPr>
          <c:explosion val="0"/>
          <c:dPt>
            <c:idx val="0"/>
            <c:explosion val="0"/>
            <c:spPr>
              <a:solidFill>
                <a:srgbClr val="236DFF"/>
              </a:solidFill>
              <a:ln w="12700" cap="flat">
                <a:noFill/>
                <a:miter lim="400000"/>
              </a:ln>
              <a:effectLst/>
            </c:spPr>
          </c:dPt>
          <c:dPt>
            <c:idx val="1"/>
            <c:explosion val="0"/>
            <c:spPr>
              <a:solidFill>
                <a:schemeClr val="accent3">
                  <a:hueOff val="3534278"/>
                  <a:satOff val="23024"/>
                  <a:lumOff val="-14394"/>
                </a:schemeClr>
              </a:solidFill>
              <a:ln w="12700" cap="flat">
                <a:noFill/>
                <a:miter lim="400000"/>
              </a:ln>
              <a:effectLst/>
            </c:spPr>
          </c:dPt>
          <c:dPt>
            <c:idx val="2"/>
            <c:explosion val="0"/>
            <c:spPr>
              <a:solidFill>
                <a:srgbClr val="28BA29"/>
              </a:solidFill>
              <a:ln w="12700" cap="flat">
                <a:noFill/>
                <a:miter lim="400000"/>
              </a:ln>
              <a:effectLst/>
            </c:spPr>
          </c:dPt>
          <c:dPt>
            <c:idx val="3"/>
            <c:explosion val="0"/>
            <c:spPr>
              <a:solidFill>
                <a:schemeClr val="accent4">
                  <a:hueOff val="-512129"/>
                </a:schemeClr>
              </a:solidFill>
              <a:ln w="12700" cap="flat">
                <a:noFill/>
                <a:miter lim="400000"/>
              </a:ln>
              <a:effectLst/>
            </c:spPr>
          </c:dPt>
          <c:dPt>
            <c:idx val="4"/>
            <c:explosion val="0"/>
            <c:spPr>
              <a:solidFill>
                <a:schemeClr val="accent6">
                  <a:hueOff val="3365832"/>
                  <a:lumOff val="-25038"/>
                </a:schemeClr>
              </a:solidFill>
              <a:ln w="12700" cap="flat">
                <a:noFill/>
                <a:miter lim="400000"/>
              </a:ln>
              <a:effectLst/>
            </c:spPr>
          </c:dPt>
          <c:dLbls>
            <c:dLbl>
              <c:idx val="0"/>
              <c:numFmt formatCode="#,##0" sourceLinked="0"/>
              <c:txPr>
                <a:bodyPr/>
                <a:lstStyle/>
                <a:p>
                  <a:pPr>
                    <a:defRPr b="0" i="0" strike="noStrike" sz="1200" u="none">
                      <a:solidFill>
                        <a:srgbClr val="FFFFFF"/>
                      </a:solidFill>
                      <a:latin typeface="Graphik"/>
                    </a:defRPr>
                  </a:pPr>
                </a:p>
              </c:txPr>
              <c:dLblPos val="inEnd"/>
              <c:showLegendKey val="0"/>
              <c:showVal val="1"/>
              <c:showCatName val="1"/>
              <c:showSerName val="0"/>
              <c:showPercent val="0"/>
              <c:showBubbleSize val="0"/>
            </c:dLbl>
            <c:dLbl>
              <c:idx val="1"/>
              <c:numFmt formatCode="#,##0" sourceLinked="0"/>
              <c:txPr>
                <a:bodyPr/>
                <a:lstStyle/>
                <a:p>
                  <a:pPr>
                    <a:defRPr b="0" i="0" strike="noStrike" sz="1200" u="none">
                      <a:solidFill>
                        <a:srgbClr val="FFFFFF"/>
                      </a:solidFill>
                      <a:latin typeface="Graphik"/>
                    </a:defRPr>
                  </a:pPr>
                </a:p>
              </c:txPr>
              <c:dLblPos val="inEnd"/>
              <c:showLegendKey val="0"/>
              <c:showVal val="1"/>
              <c:showCatName val="1"/>
              <c:showSerName val="0"/>
              <c:showPercent val="0"/>
              <c:showBubbleSize val="0"/>
            </c:dLbl>
            <c:dLbl>
              <c:idx val="2"/>
              <c:numFmt formatCode="#,##0" sourceLinked="0"/>
              <c:txPr>
                <a:bodyPr/>
                <a:lstStyle/>
                <a:p>
                  <a:pPr>
                    <a:defRPr b="0" i="0" strike="noStrike" sz="1200" u="none">
                      <a:solidFill>
                        <a:srgbClr val="FFFFFF"/>
                      </a:solidFill>
                      <a:latin typeface="Graphik"/>
                    </a:defRPr>
                  </a:pPr>
                </a:p>
              </c:txPr>
              <c:dLblPos val="inEnd"/>
              <c:showLegendKey val="0"/>
              <c:showVal val="1"/>
              <c:showCatName val="1"/>
              <c:showSerName val="0"/>
              <c:showPercent val="0"/>
              <c:showBubbleSize val="0"/>
            </c:dLbl>
            <c:dLbl>
              <c:idx val="3"/>
              <c:numFmt formatCode="#,##0" sourceLinked="0"/>
              <c:txPr>
                <a:bodyPr/>
                <a:lstStyle/>
                <a:p>
                  <a:pPr>
                    <a:defRPr b="0" i="0" strike="noStrike" sz="1200" u="none">
                      <a:solidFill>
                        <a:srgbClr val="FFFFFF"/>
                      </a:solidFill>
                      <a:latin typeface="Graphik"/>
                    </a:defRPr>
                  </a:pPr>
                </a:p>
              </c:txPr>
              <c:dLblPos val="inEnd"/>
              <c:showLegendKey val="0"/>
              <c:showVal val="1"/>
              <c:showCatName val="1"/>
              <c:showSerName val="0"/>
              <c:showPercent val="0"/>
              <c:showBubbleSize val="0"/>
            </c:dLbl>
            <c:dLbl>
              <c:idx val="4"/>
              <c:numFmt formatCode="#,##0" sourceLinked="0"/>
              <c:txPr>
                <a:bodyPr/>
                <a:lstStyle/>
                <a:p>
                  <a:pPr>
                    <a:defRPr b="0" i="0" strike="noStrike" sz="1200" u="none">
                      <a:solidFill>
                        <a:srgbClr val="FFFFFF"/>
                      </a:solidFill>
                      <a:latin typeface="Graphik"/>
                    </a:defRPr>
                  </a:pPr>
                </a:p>
              </c:txPr>
              <c:dLblPos val="inEnd"/>
              <c:showLegendKey val="0"/>
              <c:showVal val="1"/>
              <c:showCatName val="1"/>
              <c:showSerName val="0"/>
              <c:showPercent val="0"/>
              <c:showBubbleSize val="0"/>
            </c:dLbl>
            <c:numFmt formatCode="#,##0" sourceLinked="0"/>
            <c:txPr>
              <a:bodyPr/>
              <a:lstStyle/>
              <a:p>
                <a:pPr>
                  <a:defRPr b="0" i="0" strike="noStrike" sz="1200" u="none">
                    <a:solidFill>
                      <a:srgbClr val="FFFFFF"/>
                    </a:solidFill>
                    <a:latin typeface="Graphik"/>
                  </a:defRPr>
                </a:pPr>
              </a:p>
            </c:txPr>
            <c:dLblPos val="inEnd"/>
            <c:showLegendKey val="0"/>
            <c:showVal val="1"/>
            <c:showCatName val="1"/>
            <c:showSerName val="0"/>
            <c:showPercent val="0"/>
            <c:showBubbleSize val="0"/>
            <c:showLeaderLines val="1"/>
            <c:leaderLines>
              <c:spPr>
                <a:noFill/>
                <a:ln w="6350" cap="flat">
                  <a:solidFill>
                    <a:srgbClr val="000000"/>
                  </a:solidFill>
                  <a:prstDash val="solid"/>
                  <a:miter lim="400000"/>
                </a:ln>
                <a:effectLst/>
              </c:spPr>
            </c:leaderLines>
          </c:dLbls>
          <c:cat>
            <c:strRef>
              <c:f>Sheet1!$B$1:$F$1</c:f>
              <c:strCache>
                <c:ptCount val="5"/>
                <c:pt idx="0">
                  <c:v>Gunshot</c:v>
                </c:pt>
                <c:pt idx="1">
                  <c:v>Blunt Force</c:v>
                </c:pt>
                <c:pt idx="2">
                  <c:v>Stabbing</c:v>
                </c:pt>
                <c:pt idx="3">
                  <c:v>Asphyxiation</c:v>
                </c:pt>
                <c:pt idx="4">
                  <c:v>Positional Asphyxia</c:v>
                </c:pt>
              </c:strCache>
            </c:strRef>
          </c:cat>
          <c:val>
            <c:numRef>
              <c:f>Sheet1!$B$2:$F$2</c:f>
              <c:numCache>
                <c:ptCount val="5"/>
                <c:pt idx="0">
                  <c:v>20.000000</c:v>
                </c:pt>
                <c:pt idx="1">
                  <c:v>2.000000</c:v>
                </c:pt>
                <c:pt idx="2">
                  <c:v>2.000000</c:v>
                </c:pt>
                <c:pt idx="3">
                  <c:v>1.000000</c:v>
                </c:pt>
                <c:pt idx="4">
                  <c:v>1.000000</c:v>
                </c:pt>
              </c:numCache>
            </c:numRef>
          </c:val>
        </c:ser>
        <c:firstSliceAng val="0"/>
      </c:pieChart>
      <c:spPr>
        <a:noFill/>
        <a:ln w="12700" cap="flat">
          <a:noFill/>
          <a:miter lim="400000"/>
        </a:ln>
        <a:effectLst/>
      </c:spPr>
    </c:plotArea>
    <c:legend>
      <c:legendPos val="b"/>
      <c:layout>
        <c:manualLayout>
          <c:xMode val="edge"/>
          <c:yMode val="edge"/>
          <c:x val="0.295616"/>
          <c:y val="0.861924"/>
          <c:w val="0.408768"/>
          <c:h val="0.138076"/>
        </c:manualLayout>
      </c:layout>
      <c:overlay val="1"/>
      <c:spPr>
        <a:noFill/>
        <a:ln w="12700" cap="flat">
          <a:noFill/>
          <a:miter lim="400000"/>
        </a:ln>
        <a:effectLst/>
      </c:spPr>
      <c:txPr>
        <a:bodyPr rot="0"/>
        <a:lstStyle/>
        <a:p>
          <a:pPr>
            <a:defRPr b="0" i="0" strike="noStrike" sz="1000" u="none">
              <a:solidFill>
                <a:srgbClr val="000000"/>
              </a:solidFill>
              <a:latin typeface="Graphik"/>
            </a:defRPr>
          </a:pPr>
        </a:p>
      </c:txPr>
    </c:legend>
    <c:plotVisOnly val="1"/>
    <c:dispBlanksAs val="gap"/>
  </c:chart>
  <c:spPr>
    <a:noFill/>
    <a:ln>
      <a:noFill/>
    </a:ln>
    <a:effectLst/>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1"/>
  <c:roundedCorners val="0"/>
  <c:chart>
    <c:title>
      <c:tx>
        <c:rich>
          <a:bodyPr rot="0"/>
          <a:lstStyle/>
          <a:p>
            <a:pPr>
              <a:defRPr b="0" i="0" strike="noStrike" sz="1200" u="none">
                <a:solidFill>
                  <a:srgbClr val="000000"/>
                </a:solidFill>
                <a:latin typeface="Graphik"/>
              </a:defRPr>
            </a:pPr>
            <a:r>
              <a:rPr b="0" i="0" strike="noStrike" sz="1200" u="none">
                <a:solidFill>
                  <a:srgbClr val="000000"/>
                </a:solidFill>
                <a:latin typeface="Graphik"/>
              </a:rPr>
              <a:t>UNDETERMINED DEATHS BY YEAR</a:t>
            </a:r>
          </a:p>
        </c:rich>
      </c:tx>
      <c:layout>
        <c:manualLayout>
          <c:xMode val="edge"/>
          <c:yMode val="edge"/>
          <c:x val="0.312229"/>
          <c:y val="0"/>
          <c:w val="0.375543"/>
          <c:h val="0.122607"/>
        </c:manualLayout>
      </c:layout>
      <c:overlay val="1"/>
      <c:spPr>
        <a:noFill/>
        <a:effectLst/>
      </c:spPr>
    </c:title>
    <c:autoTitleDeleted val="1"/>
    <c:plotArea>
      <c:layout>
        <c:manualLayout>
          <c:layoutTarget val="inner"/>
          <c:xMode val="edge"/>
          <c:yMode val="edge"/>
          <c:x val="0.0460833"/>
          <c:y val="0.122607"/>
          <c:w val="0.948917"/>
          <c:h val="0.726438"/>
        </c:manualLayout>
      </c:layout>
      <c:barChart>
        <c:barDir val="col"/>
        <c:grouping val="clustered"/>
        <c:varyColors val="0"/>
        <c:ser>
          <c:idx val="0"/>
          <c:order val="0"/>
          <c:tx>
            <c:strRef>
              <c:f>Sheet1!$B$1</c:f>
              <c:strCache>
                <c:ptCount val="1"/>
                <c:pt idx="0">
                  <c:v>Year</c:v>
                </c:pt>
              </c:strCache>
            </c:strRef>
          </c:tx>
          <c:spPr>
            <a:solidFill>
              <a:srgbClr val="24BA29"/>
            </a:solidFill>
            <a:ln w="12700" cap="flat">
              <a:noFill/>
              <a:miter lim="400000"/>
            </a:ln>
            <a:effectLst/>
          </c:spPr>
          <c:invertIfNegative val="0"/>
          <c:dLbls>
            <c:numFmt formatCode="0" sourceLinked="0"/>
            <c:txPr>
              <a:bodyPr/>
              <a:lstStyle/>
              <a:p>
                <a:pPr>
                  <a:defRPr b="0" i="0" strike="noStrike" sz="1200" u="none">
                    <a:solidFill>
                      <a:srgbClr val="FFFFFF"/>
                    </a:solidFill>
                    <a:latin typeface="Graphik"/>
                  </a:defRPr>
                </a:pPr>
              </a:p>
            </c:txPr>
            <c:dLblPos val="inEnd"/>
            <c:showLegendKey val="0"/>
            <c:showVal val="1"/>
            <c:showCatName val="0"/>
            <c:showSerName val="0"/>
            <c:showPercent val="0"/>
            <c:showBubbleSize val="0"/>
            <c:showLeaderLines val="0"/>
          </c:dLbls>
          <c:cat>
            <c:strRef>
              <c:f>Sheet1!$A$2:$A$9</c:f>
              <c:strCache>
                <c:ptCount val="8"/>
                <c:pt idx="0">
                  <c:v>2014</c:v>
                </c:pt>
                <c:pt idx="1">
                  <c:v>2015</c:v>
                </c:pt>
                <c:pt idx="2">
                  <c:v>2016</c:v>
                </c:pt>
                <c:pt idx="3">
                  <c:v>2017</c:v>
                </c:pt>
                <c:pt idx="4">
                  <c:v>2018</c:v>
                </c:pt>
                <c:pt idx="5">
                  <c:v>2019</c:v>
                </c:pt>
                <c:pt idx="6">
                  <c:v>2020</c:v>
                </c:pt>
                <c:pt idx="7">
                  <c:v>2021</c:v>
                </c:pt>
              </c:strCache>
            </c:strRef>
          </c:cat>
          <c:val>
            <c:numRef>
              <c:f>Sheet1!$B$2:$B$9</c:f>
              <c:numCache>
                <c:ptCount val="8"/>
                <c:pt idx="0">
                  <c:v>7.000000</c:v>
                </c:pt>
                <c:pt idx="1">
                  <c:v>10.000000</c:v>
                </c:pt>
                <c:pt idx="2">
                  <c:v>5.000000</c:v>
                </c:pt>
                <c:pt idx="3">
                  <c:v>5.000000</c:v>
                </c:pt>
                <c:pt idx="4">
                  <c:v>7.000000</c:v>
                </c:pt>
                <c:pt idx="5">
                  <c:v>5.000000</c:v>
                </c:pt>
                <c:pt idx="6">
                  <c:v>7.000000</c:v>
                </c:pt>
                <c:pt idx="7">
                  <c:v>5.000000</c:v>
                </c:pt>
              </c:numCache>
            </c:numRef>
          </c:val>
        </c:ser>
        <c:gapWidth val="40"/>
        <c:overlap val="-10"/>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000000"/>
            </a:solidFill>
            <a:prstDash val="solid"/>
            <a:miter lim="400000"/>
          </a:ln>
        </c:spPr>
        <c:txPr>
          <a:bodyPr rot="0"/>
          <a:lstStyle/>
          <a:p>
            <a:pPr>
              <a:defRPr b="0" i="0" strike="noStrike" sz="1000" u="none">
                <a:solidFill>
                  <a:srgbClr val="000000"/>
                </a:solidFill>
                <a:latin typeface="Graphik"/>
              </a:defRPr>
            </a:pPr>
          </a:p>
        </c:txPr>
        <c:crossAx val="2094734553"/>
        <c:crosses val="autoZero"/>
        <c:auto val="1"/>
        <c:lblAlgn val="ctr"/>
        <c:noMultiLvlLbl val="1"/>
      </c:catAx>
      <c:valAx>
        <c:axId val="2094734553"/>
        <c:scaling>
          <c:orientation val="minMax"/>
        </c:scaling>
        <c:delete val="0"/>
        <c:axPos val="l"/>
        <c:majorGridlines>
          <c:spPr>
            <a:ln w="6350" cap="flat">
              <a:solidFill>
                <a:srgbClr val="B8B8B8"/>
              </a:solidFill>
              <a:prstDash val="solid"/>
              <a:miter lim="400000"/>
            </a:ln>
          </c:spPr>
        </c:majorGridlines>
        <c:numFmt formatCode="0" sourceLinked="0"/>
        <c:majorTickMark val="none"/>
        <c:minorTickMark val="none"/>
        <c:tickLblPos val="nextTo"/>
        <c:spPr>
          <a:ln w="12700" cap="flat">
            <a:noFill/>
            <a:prstDash val="solid"/>
            <a:miter lim="400000"/>
          </a:ln>
        </c:spPr>
        <c:txPr>
          <a:bodyPr rot="0"/>
          <a:lstStyle/>
          <a:p>
            <a:pPr>
              <a:defRPr b="0" i="0" strike="noStrike" sz="1000" u="none">
                <a:solidFill>
                  <a:srgbClr val="000000"/>
                </a:solidFill>
                <a:latin typeface="Graphik"/>
              </a:defRPr>
            </a:pPr>
          </a:p>
        </c:txPr>
        <c:crossAx val="2094734552"/>
        <c:crosses val="autoZero"/>
        <c:crossBetween val="between"/>
        <c:majorUnit val="2.5"/>
        <c:minorUnit val="1.25"/>
      </c:valAx>
      <c:spPr>
        <a:noFill/>
        <a:ln w="12700" cap="flat">
          <a:noFill/>
          <a:miter lim="400000"/>
        </a:ln>
        <a:effectLst/>
      </c:spPr>
    </c:plotArea>
    <c:legend>
      <c:legendPos val="b"/>
      <c:layout>
        <c:manualLayout>
          <c:xMode val="edge"/>
          <c:yMode val="edge"/>
          <c:x val="0.475414"/>
          <c:y val="0.932544"/>
          <c:w val="0.0964991"/>
          <c:h val="0.067456"/>
        </c:manualLayout>
      </c:layout>
      <c:overlay val="1"/>
      <c:spPr>
        <a:noFill/>
        <a:ln w="12700" cap="flat">
          <a:noFill/>
          <a:miter lim="400000"/>
        </a:ln>
        <a:effectLst/>
      </c:spPr>
      <c:txPr>
        <a:bodyPr rot="0"/>
        <a:lstStyle/>
        <a:p>
          <a:pPr>
            <a:defRPr b="0" i="0" strike="noStrike" sz="1000" u="none">
              <a:solidFill>
                <a:srgbClr val="000000"/>
              </a:solidFill>
              <a:latin typeface="Graphik"/>
            </a:defRPr>
          </a:pPr>
        </a:p>
      </c:txPr>
    </c:legend>
    <c:plotVisOnly val="1"/>
    <c:dispBlanksAs val="gap"/>
  </c:chart>
  <c:spPr>
    <a:noFill/>
    <a:ln>
      <a:noFill/>
    </a:ln>
    <a:effectLst/>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1"/>
  <c:roundedCorners val="0"/>
  <c:chart>
    <c:title>
      <c:tx>
        <c:rich>
          <a:bodyPr rot="0"/>
          <a:lstStyle/>
          <a:p>
            <a:pPr>
              <a:defRPr b="1" i="0" strike="noStrike" sz="1200" u="none">
                <a:solidFill>
                  <a:srgbClr val="000000"/>
                </a:solidFill>
                <a:latin typeface="Graphik"/>
              </a:defRPr>
            </a:pPr>
            <a:r>
              <a:rPr b="1" i="0" strike="noStrike" sz="1200" u="none">
                <a:solidFill>
                  <a:srgbClr val="000000"/>
                </a:solidFill>
                <a:latin typeface="Graphik"/>
              </a:rPr>
              <a:t>POLYDRUG DEATHS BY YEAR</a:t>
            </a:r>
          </a:p>
        </c:rich>
      </c:tx>
      <c:layout>
        <c:manualLayout>
          <c:xMode val="edge"/>
          <c:yMode val="edge"/>
          <c:x val="0.328851"/>
          <c:y val="0"/>
          <c:w val="0.342298"/>
          <c:h val="0.100305"/>
        </c:manualLayout>
      </c:layout>
      <c:overlay val="1"/>
      <c:spPr>
        <a:noFill/>
        <a:effectLst/>
      </c:spPr>
    </c:title>
    <c:autoTitleDeleted val="1"/>
    <c:plotArea>
      <c:layout>
        <c:manualLayout>
          <c:layoutTarget val="inner"/>
          <c:xMode val="edge"/>
          <c:yMode val="edge"/>
          <c:x val="0.050068"/>
          <c:y val="0.100305"/>
          <c:w val="0.944932"/>
          <c:h val="0.824461"/>
        </c:manualLayout>
      </c:layout>
      <c:barChart>
        <c:barDir val="col"/>
        <c:grouping val="clustered"/>
        <c:varyColors val="0"/>
        <c:ser>
          <c:idx val="0"/>
          <c:order val="0"/>
          <c:tx>
            <c:strRef>
              <c:f>Sheet1!$B$1</c:f>
              <c:strCache>
                <c:ptCount val="1"/>
                <c:pt idx="0">
                  <c:v>Year</c:v>
                </c:pt>
              </c:strCache>
            </c:strRef>
          </c:tx>
          <c:spPr>
            <a:solidFill>
              <a:srgbClr val="236DFF"/>
            </a:solidFill>
            <a:ln w="12700" cap="flat">
              <a:noFill/>
              <a:miter lim="400000"/>
            </a:ln>
            <a:effectLst/>
          </c:spPr>
          <c:invertIfNegative val="0"/>
          <c:dLbls>
            <c:numFmt formatCode="0" sourceLinked="0"/>
            <c:txPr>
              <a:bodyPr/>
              <a:lstStyle/>
              <a:p>
                <a:pPr>
                  <a:defRPr b="0" i="0" strike="noStrike" sz="1200" u="none">
                    <a:solidFill>
                      <a:srgbClr val="FFFFFF"/>
                    </a:solidFill>
                    <a:latin typeface="Graphik"/>
                  </a:defRPr>
                </a:pPr>
              </a:p>
            </c:txPr>
            <c:dLblPos val="inEnd"/>
            <c:showLegendKey val="0"/>
            <c:showVal val="1"/>
            <c:showCatName val="0"/>
            <c:showSerName val="0"/>
            <c:showPercent val="0"/>
            <c:showBubbleSize val="0"/>
            <c:showLeaderLines val="0"/>
          </c:dLbls>
          <c:cat>
            <c:strRef>
              <c:f>Sheet1!$A$2:$A$9</c:f>
              <c:strCache>
                <c:ptCount val="8"/>
                <c:pt idx="0">
                  <c:v>2014</c:v>
                </c:pt>
                <c:pt idx="1">
                  <c:v>2015</c:v>
                </c:pt>
                <c:pt idx="2">
                  <c:v>2016</c:v>
                </c:pt>
                <c:pt idx="3">
                  <c:v>2017</c:v>
                </c:pt>
                <c:pt idx="4">
                  <c:v>2018</c:v>
                </c:pt>
                <c:pt idx="5">
                  <c:v>2019</c:v>
                </c:pt>
                <c:pt idx="6">
                  <c:v>2020</c:v>
                </c:pt>
                <c:pt idx="7">
                  <c:v>2021</c:v>
                </c:pt>
              </c:strCache>
            </c:strRef>
          </c:cat>
          <c:val>
            <c:numRef>
              <c:f>Sheet1!$B$2:$B$9</c:f>
              <c:numCache>
                <c:ptCount val="8"/>
                <c:pt idx="0">
                  <c:v>8.000000</c:v>
                </c:pt>
                <c:pt idx="1">
                  <c:v>9.000000</c:v>
                </c:pt>
                <c:pt idx="2">
                  <c:v>8.000000</c:v>
                </c:pt>
                <c:pt idx="3">
                  <c:v>20.000000</c:v>
                </c:pt>
                <c:pt idx="4">
                  <c:v>18.000000</c:v>
                </c:pt>
                <c:pt idx="5">
                  <c:v>25.000000</c:v>
                </c:pt>
                <c:pt idx="6">
                  <c:v>28.000000</c:v>
                </c:pt>
                <c:pt idx="7">
                  <c:v>39.000000</c:v>
                </c:pt>
              </c:numCache>
            </c:numRef>
          </c:val>
        </c:ser>
        <c:gapWidth val="40"/>
        <c:overlap val="-10"/>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000000"/>
            </a:solidFill>
            <a:prstDash val="solid"/>
            <a:miter lim="400000"/>
          </a:ln>
        </c:spPr>
        <c:txPr>
          <a:bodyPr rot="0"/>
          <a:lstStyle/>
          <a:p>
            <a:pPr>
              <a:defRPr b="0" i="0" strike="noStrike" sz="1000" u="none">
                <a:solidFill>
                  <a:srgbClr val="000000"/>
                </a:solidFill>
                <a:latin typeface="Graphik"/>
              </a:defRPr>
            </a:pPr>
          </a:p>
        </c:txPr>
        <c:crossAx val="2094734553"/>
        <c:crosses val="autoZero"/>
        <c:auto val="1"/>
        <c:lblAlgn val="ctr"/>
        <c:noMultiLvlLbl val="1"/>
      </c:catAx>
      <c:valAx>
        <c:axId val="2094734553"/>
        <c:scaling>
          <c:orientation val="minMax"/>
        </c:scaling>
        <c:delete val="0"/>
        <c:axPos val="l"/>
        <c:majorGridlines>
          <c:spPr>
            <a:ln w="6350" cap="flat">
              <a:solidFill>
                <a:srgbClr val="B8B8B8"/>
              </a:solidFill>
              <a:prstDash val="solid"/>
              <a:miter lim="400000"/>
            </a:ln>
          </c:spPr>
        </c:majorGridlines>
        <c:numFmt formatCode="0" sourceLinked="0"/>
        <c:majorTickMark val="none"/>
        <c:minorTickMark val="none"/>
        <c:tickLblPos val="nextTo"/>
        <c:spPr>
          <a:ln w="12700" cap="flat">
            <a:noFill/>
            <a:prstDash val="solid"/>
            <a:miter lim="400000"/>
          </a:ln>
        </c:spPr>
        <c:txPr>
          <a:bodyPr rot="0"/>
          <a:lstStyle/>
          <a:p>
            <a:pPr>
              <a:defRPr b="0" i="0" strike="noStrike" sz="1000" u="none">
                <a:solidFill>
                  <a:srgbClr val="000000"/>
                </a:solidFill>
                <a:latin typeface="Graphik"/>
              </a:defRPr>
            </a:pPr>
          </a:p>
        </c:txPr>
        <c:crossAx val="2094734552"/>
        <c:crosses val="autoZero"/>
        <c:crossBetween val="between"/>
        <c:majorUnit val="10"/>
        <c:minorUnit val="5"/>
      </c:valAx>
      <c:spPr>
        <a:noFill/>
        <a:ln w="12700" cap="flat">
          <a:noFill/>
          <a:miter lim="400000"/>
        </a:ln>
        <a:effectLst/>
      </c:spPr>
    </c:plotArea>
    <c:plotVisOnly val="1"/>
    <c:dispBlanksAs val="gap"/>
  </c:chart>
  <c:spPr>
    <a:noFill/>
    <a:ln>
      <a:noFill/>
    </a:ln>
    <a:effectLst/>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1"/>
  <c:roundedCorners val="0"/>
  <c:chart>
    <c:autoTitleDeleted val="1"/>
    <c:plotArea>
      <c:layout>
        <c:manualLayout>
          <c:layoutTarget val="inner"/>
          <c:xMode val="edge"/>
          <c:yMode val="edge"/>
          <c:x val="0.139972"/>
          <c:y val="0.243744"/>
          <c:w val="0.720056"/>
          <c:h val="0.743756"/>
        </c:manualLayout>
      </c:layout>
      <c:pieChart>
        <c:varyColors val="0"/>
        <c:ser>
          <c:idx val="0"/>
          <c:order val="0"/>
          <c:tx>
            <c:strRef>
              <c:f>Sheet1!$A$2</c:f>
              <c:strCache>
                <c:ptCount val="1"/>
                <c:pt idx="0">
                  <c:v>Region 1</c:v>
                </c:pt>
              </c:strCache>
            </c:strRef>
          </c:tx>
          <c:spPr>
            <a:solidFill>
              <a:srgbClr val="236DFF"/>
            </a:solidFill>
            <a:ln w="12700" cap="flat">
              <a:noFill/>
              <a:miter lim="400000"/>
            </a:ln>
            <a:effectLst/>
          </c:spPr>
          <c:explosion val="0"/>
          <c:dPt>
            <c:idx val="0"/>
            <c:explosion val="0"/>
            <c:spPr>
              <a:solidFill>
                <a:srgbClr val="236DFF"/>
              </a:solidFill>
              <a:ln w="12700" cap="flat">
                <a:noFill/>
                <a:miter lim="400000"/>
              </a:ln>
              <a:effectLst/>
            </c:spPr>
          </c:dPt>
          <c:dPt>
            <c:idx val="1"/>
            <c:explosion val="0"/>
            <c:spPr>
              <a:solidFill>
                <a:schemeClr val="accent3">
                  <a:hueOff val="3534278"/>
                  <a:satOff val="23024"/>
                  <a:lumOff val="-14394"/>
                </a:schemeClr>
              </a:solidFill>
              <a:ln w="12700" cap="flat">
                <a:noFill/>
                <a:miter lim="400000"/>
              </a:ln>
              <a:effectLst/>
            </c:spPr>
          </c:dPt>
          <c:dPt>
            <c:idx val="2"/>
            <c:explosion val="0"/>
            <c:spPr>
              <a:solidFill>
                <a:srgbClr val="28BA29"/>
              </a:solidFill>
              <a:ln w="12700" cap="flat">
                <a:noFill/>
                <a:miter lim="400000"/>
              </a:ln>
              <a:effectLst/>
            </c:spPr>
          </c:dPt>
          <c:dLbls>
            <c:dLbl>
              <c:idx val="0"/>
              <c:numFmt formatCode="#,##0%" sourceLinked="0"/>
              <c:txPr>
                <a:bodyPr/>
                <a:lstStyle/>
                <a:p>
                  <a:pPr>
                    <a:defRPr b="0" i="0" strike="noStrike" sz="1200" u="none">
                      <a:solidFill>
                        <a:srgbClr val="FFFFFF"/>
                      </a:solidFill>
                      <a:latin typeface="Graphik"/>
                    </a:defRPr>
                  </a:pPr>
                </a:p>
              </c:txPr>
              <c:dLblPos val="ctr"/>
              <c:showLegendKey val="0"/>
              <c:showVal val="0"/>
              <c:showCatName val="0"/>
              <c:showSerName val="0"/>
              <c:showPercent val="1"/>
              <c:showBubbleSize val="0"/>
            </c:dLbl>
            <c:dLbl>
              <c:idx val="1"/>
              <c:numFmt formatCode="#,##0%" sourceLinked="0"/>
              <c:txPr>
                <a:bodyPr/>
                <a:lstStyle/>
                <a:p>
                  <a:pPr>
                    <a:defRPr b="0" i="0" strike="noStrike" sz="1200" u="none">
                      <a:solidFill>
                        <a:srgbClr val="FFFFFF"/>
                      </a:solidFill>
                      <a:latin typeface="Graphik"/>
                    </a:defRPr>
                  </a:pPr>
                </a:p>
              </c:txPr>
              <c:dLblPos val="ctr"/>
              <c:showLegendKey val="0"/>
              <c:showVal val="0"/>
              <c:showCatName val="0"/>
              <c:showSerName val="0"/>
              <c:showPercent val="1"/>
              <c:showBubbleSize val="0"/>
            </c:dLbl>
            <c:dLbl>
              <c:idx val="2"/>
              <c:numFmt formatCode="#,##0%" sourceLinked="0"/>
              <c:txPr>
                <a:bodyPr/>
                <a:lstStyle/>
                <a:p>
                  <a:pPr>
                    <a:defRPr b="0" i="0" strike="noStrike" sz="1200" u="none">
                      <a:solidFill>
                        <a:srgbClr val="FFFFFF"/>
                      </a:solidFill>
                      <a:latin typeface="Graphik"/>
                    </a:defRPr>
                  </a:pPr>
                </a:p>
              </c:txPr>
              <c:dLblPos val="ctr"/>
              <c:showLegendKey val="0"/>
              <c:showVal val="0"/>
              <c:showCatName val="0"/>
              <c:showSerName val="0"/>
              <c:showPercent val="1"/>
              <c:showBubbleSize val="0"/>
            </c:dLbl>
            <c:numFmt formatCode="#,##0%" sourceLinked="0"/>
            <c:txPr>
              <a:bodyPr/>
              <a:lstStyle/>
              <a:p>
                <a:pPr>
                  <a:defRPr b="0" i="0" strike="noStrike" sz="1200" u="none">
                    <a:solidFill>
                      <a:srgbClr val="FFFFFF"/>
                    </a:solidFill>
                    <a:latin typeface="Graphik"/>
                  </a:defRPr>
                </a:pPr>
              </a:p>
            </c:txPr>
            <c:dLblPos val="ctr"/>
            <c:showLegendKey val="0"/>
            <c:showVal val="0"/>
            <c:showCatName val="0"/>
            <c:showSerName val="0"/>
            <c:showPercent val="1"/>
            <c:showBubbleSize val="0"/>
            <c:showLeaderLines val="1"/>
            <c:leaderLines>
              <c:spPr>
                <a:noFill/>
                <a:ln w="6350" cap="flat">
                  <a:solidFill>
                    <a:srgbClr val="000000"/>
                  </a:solidFill>
                  <a:prstDash val="solid"/>
                  <a:miter lim="400000"/>
                </a:ln>
                <a:effectLst/>
              </c:spPr>
            </c:leaderLines>
          </c:dLbls>
          <c:cat>
            <c:strRef>
              <c:f>Sheet1!$B$1:$D$1</c:f>
              <c:strCache>
                <c:ptCount val="3"/>
                <c:pt idx="0">
                  <c:v>Meth/Cocaine</c:v>
                </c:pt>
                <c:pt idx="1">
                  <c:v>Opioids</c:v>
                </c:pt>
                <c:pt idx="2">
                  <c:v>Other</c:v>
                </c:pt>
              </c:strCache>
            </c:strRef>
          </c:cat>
          <c:val>
            <c:numRef>
              <c:f>Sheet1!$B$2:$D$2</c:f>
              <c:numCache>
                <c:ptCount val="3"/>
                <c:pt idx="0">
                  <c:v>14.000000</c:v>
                </c:pt>
                <c:pt idx="1">
                  <c:v>16.000000</c:v>
                </c:pt>
                <c:pt idx="2">
                  <c:v>2.000000</c:v>
                </c:pt>
              </c:numCache>
            </c:numRef>
          </c:val>
        </c:ser>
        <c:firstSliceAng val="0"/>
      </c:pieChart>
      <c:spPr>
        <a:noFill/>
        <a:ln w="12700" cap="flat">
          <a:noFill/>
          <a:miter lim="400000"/>
        </a:ln>
        <a:effectLst/>
      </c:spPr>
    </c:plotArea>
    <c:legend>
      <c:legendPos val="t"/>
      <c:layout>
        <c:manualLayout>
          <c:xMode val="edge"/>
          <c:yMode val="edge"/>
          <c:x val="0"/>
          <c:y val="0"/>
          <c:w val="1"/>
          <c:h val="0.0633272"/>
        </c:manualLayout>
      </c:layout>
      <c:overlay val="1"/>
      <c:spPr>
        <a:noFill/>
        <a:ln w="12700" cap="flat">
          <a:noFill/>
          <a:miter lim="400000"/>
        </a:ln>
        <a:effectLst/>
      </c:spPr>
      <c:txPr>
        <a:bodyPr rot="0"/>
        <a:lstStyle/>
        <a:p>
          <a:pPr>
            <a:defRPr b="0" i="0" strike="noStrike" sz="1000" u="none">
              <a:solidFill>
                <a:srgbClr val="000000"/>
              </a:solidFill>
              <a:latin typeface="Graphik"/>
            </a:defRPr>
          </a:pPr>
        </a:p>
      </c:txPr>
    </c:legend>
    <c:plotVisOnly val="1"/>
    <c:dispBlanksAs val="gap"/>
  </c:chart>
  <c:spPr>
    <a:noFill/>
    <a:ln>
      <a:noFill/>
    </a:ln>
    <a:effectLst/>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1"/>
  <c:roundedCorners val="0"/>
  <c:chart>
    <c:autoTitleDeleted val="1"/>
    <c:plotArea>
      <c:layout>
        <c:manualLayout>
          <c:layoutTarget val="inner"/>
          <c:xMode val="edge"/>
          <c:yMode val="edge"/>
          <c:x val="0.0452484"/>
          <c:y val="0.0326337"/>
          <c:w val="0.936636"/>
          <c:h val="0.758416"/>
        </c:manualLayout>
      </c:layout>
      <c:barChart>
        <c:barDir val="col"/>
        <c:grouping val="clustered"/>
        <c:varyColors val="0"/>
        <c:ser>
          <c:idx val="0"/>
          <c:order val="0"/>
          <c:tx>
            <c:strRef>
              <c:f>Sheet1!$B$1</c:f>
              <c:strCache>
                <c:ptCount val="1"/>
                <c:pt idx="0">
                  <c:v>Drug of Intoxication</c:v>
                </c:pt>
              </c:strCache>
            </c:strRef>
          </c:tx>
          <c:spPr>
            <a:solidFill>
              <a:schemeClr val="accent3">
                <a:hueOff val="3534278"/>
                <a:satOff val="23024"/>
                <a:lumOff val="-14394"/>
              </a:schemeClr>
            </a:solidFill>
            <a:ln w="12700" cap="flat">
              <a:noFill/>
              <a:miter lim="400000"/>
            </a:ln>
            <a:effectLst/>
          </c:spPr>
          <c:invertIfNegative val="0"/>
          <c:dLbls>
            <c:numFmt formatCode="0" sourceLinked="0"/>
            <c:txPr>
              <a:bodyPr/>
              <a:lstStyle/>
              <a:p>
                <a:pPr>
                  <a:defRPr b="0" i="0" strike="noStrike" sz="1200" u="none">
                    <a:solidFill>
                      <a:srgbClr val="000000"/>
                    </a:solidFill>
                    <a:latin typeface="Graphik"/>
                  </a:defRPr>
                </a:pPr>
              </a:p>
            </c:txPr>
            <c:dLblPos val="inEnd"/>
            <c:showLegendKey val="0"/>
            <c:showVal val="1"/>
            <c:showCatName val="0"/>
            <c:showSerName val="0"/>
            <c:showPercent val="0"/>
            <c:showBubbleSize val="0"/>
            <c:showLeaderLines val="0"/>
          </c:dLbls>
          <c:cat>
            <c:strRef>
              <c:f>Sheet1!$A$2:$A$10</c:f>
              <c:strCache>
                <c:ptCount val="9"/>
                <c:pt idx="0">
                  <c:v>Cocaine</c:v>
                </c:pt>
                <c:pt idx="1">
                  <c:v>Ethanol</c:v>
                </c:pt>
                <c:pt idx="2">
                  <c:v>Fentanyl</c:v>
                </c:pt>
                <c:pt idx="3">
                  <c:v>Heroin</c:v>
                </c:pt>
                <c:pt idx="4">
                  <c:v>Methadone</c:v>
                </c:pt>
                <c:pt idx="5">
                  <c:v>Methamphetamine</c:v>
                </c:pt>
                <c:pt idx="6">
                  <c:v>Hydrocodone</c:v>
                </c:pt>
                <c:pt idx="7">
                  <c:v>Oxycodone</c:v>
                </c:pt>
                <c:pt idx="8">
                  <c:v>Dextromethorphan</c:v>
                </c:pt>
              </c:strCache>
            </c:strRef>
          </c:cat>
          <c:val>
            <c:numRef>
              <c:f>Sheet1!$B$2:$B$10</c:f>
              <c:numCache>
                <c:ptCount val="9"/>
                <c:pt idx="0">
                  <c:v>4.000000</c:v>
                </c:pt>
                <c:pt idx="1">
                  <c:v>1.000000</c:v>
                </c:pt>
                <c:pt idx="2">
                  <c:v>5.000000</c:v>
                </c:pt>
                <c:pt idx="3">
                  <c:v>7.000000</c:v>
                </c:pt>
                <c:pt idx="4">
                  <c:v>2.000000</c:v>
                </c:pt>
                <c:pt idx="5">
                  <c:v>10.000000</c:v>
                </c:pt>
                <c:pt idx="6">
                  <c:v>1.000000</c:v>
                </c:pt>
                <c:pt idx="7">
                  <c:v>3.000000</c:v>
                </c:pt>
                <c:pt idx="8">
                  <c:v>1.000000</c:v>
                </c:pt>
              </c:numCache>
            </c:numRef>
          </c:val>
        </c:ser>
        <c:gapWidth val="40"/>
        <c:overlap val="-10"/>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000000"/>
            </a:solidFill>
            <a:prstDash val="solid"/>
            <a:miter lim="400000"/>
          </a:ln>
        </c:spPr>
        <c:txPr>
          <a:bodyPr rot="-18900000"/>
          <a:lstStyle/>
          <a:p>
            <a:pPr>
              <a:defRPr b="0" i="0" strike="noStrike" sz="1000" u="none">
                <a:solidFill>
                  <a:srgbClr val="000000"/>
                </a:solidFill>
                <a:latin typeface="Graphik"/>
              </a:defRPr>
            </a:pPr>
          </a:p>
        </c:txPr>
        <c:crossAx val="2094734553"/>
        <c:crosses val="autoZero"/>
        <c:auto val="1"/>
        <c:lblAlgn val="ctr"/>
        <c:noMultiLvlLbl val="1"/>
      </c:catAx>
      <c:valAx>
        <c:axId val="2094734553"/>
        <c:scaling>
          <c:orientation val="minMax"/>
        </c:scaling>
        <c:delete val="0"/>
        <c:axPos val="l"/>
        <c:majorGridlines>
          <c:spPr>
            <a:ln w="6350" cap="flat">
              <a:solidFill>
                <a:srgbClr val="B8B8B8"/>
              </a:solidFill>
              <a:prstDash val="solid"/>
              <a:miter lim="400000"/>
            </a:ln>
          </c:spPr>
        </c:majorGridlines>
        <c:numFmt formatCode="0" sourceLinked="0"/>
        <c:majorTickMark val="none"/>
        <c:minorTickMark val="none"/>
        <c:tickLblPos val="nextTo"/>
        <c:spPr>
          <a:ln w="12700" cap="flat">
            <a:noFill/>
            <a:prstDash val="solid"/>
            <a:miter lim="400000"/>
          </a:ln>
        </c:spPr>
        <c:txPr>
          <a:bodyPr rot="0"/>
          <a:lstStyle/>
          <a:p>
            <a:pPr>
              <a:defRPr b="0" i="0" strike="noStrike" sz="1000" u="none">
                <a:solidFill>
                  <a:srgbClr val="000000"/>
                </a:solidFill>
                <a:latin typeface="Graphik"/>
              </a:defRPr>
            </a:pPr>
          </a:p>
        </c:txPr>
        <c:crossAx val="2094734552"/>
        <c:crosses val="autoZero"/>
        <c:crossBetween val="between"/>
        <c:majorUnit val="2.5"/>
        <c:minorUnit val="1.25"/>
      </c:valAx>
      <c:spPr>
        <a:noFill/>
        <a:ln w="12700" cap="flat">
          <a:noFill/>
          <a:miter lim="400000"/>
        </a:ln>
        <a:effectLst/>
      </c:spPr>
    </c:plotArea>
    <c:plotVisOnly val="1"/>
    <c:dispBlanksAs val="gap"/>
  </c:chart>
  <c:spPr>
    <a:noFill/>
    <a:ln>
      <a:noFill/>
    </a:ln>
    <a:effectLst/>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1"/>
  <c:roundedCorners val="0"/>
  <c:chart>
    <c:title>
      <c:tx>
        <c:rich>
          <a:bodyPr rot="0"/>
          <a:lstStyle/>
          <a:p>
            <a:pPr>
              <a:defRPr b="1" i="0" strike="noStrike" sz="1400" u="none">
                <a:solidFill>
                  <a:srgbClr val="000000"/>
                </a:solidFill>
                <a:latin typeface="Graphik"/>
              </a:defRPr>
            </a:pPr>
            <a:r>
              <a:rPr b="1" i="0" strike="noStrike" sz="1400" u="none">
                <a:solidFill>
                  <a:srgbClr val="000000"/>
                </a:solidFill>
                <a:latin typeface="Graphik"/>
              </a:rPr>
              <a:t>CHILD DEATHS BY MANNER</a:t>
            </a:r>
          </a:p>
        </c:rich>
      </c:tx>
      <c:layout>
        <c:manualLayout>
          <c:xMode val="edge"/>
          <c:yMode val="edge"/>
          <c:x val="0.30594"/>
          <c:y val="0"/>
          <c:w val="0.388119"/>
          <c:h val="0.106368"/>
        </c:manualLayout>
      </c:layout>
      <c:overlay val="1"/>
      <c:spPr>
        <a:noFill/>
        <a:effectLst/>
      </c:spPr>
    </c:title>
    <c:autoTitleDeleted val="1"/>
    <c:plotArea>
      <c:layout>
        <c:manualLayout>
          <c:layoutTarget val="inner"/>
          <c:xMode val="edge"/>
          <c:yMode val="edge"/>
          <c:x val="0.0388155"/>
          <c:y val="0.106368"/>
          <c:w val="0.956184"/>
          <c:h val="0.818889"/>
        </c:manualLayout>
      </c:layout>
      <c:barChart>
        <c:barDir val="col"/>
        <c:grouping val="clustered"/>
        <c:varyColors val="0"/>
        <c:ser>
          <c:idx val="0"/>
          <c:order val="0"/>
          <c:tx>
            <c:strRef>
              <c:f>Sheet1!$B$1</c:f>
              <c:strCache>
                <c:ptCount val="1"/>
                <c:pt idx="0">
                  <c:v>Manner of Death</c:v>
                </c:pt>
              </c:strCache>
            </c:strRef>
          </c:tx>
          <c:spPr>
            <a:solidFill>
              <a:schemeClr val="accent3">
                <a:hueOff val="3534278"/>
                <a:satOff val="23024"/>
                <a:lumOff val="-14394"/>
              </a:schemeClr>
            </a:solidFill>
            <a:ln w="12700" cap="flat">
              <a:noFill/>
              <a:miter lim="400000"/>
            </a:ln>
            <a:effectLst/>
          </c:spPr>
          <c:invertIfNegative val="0"/>
          <c:dLbls>
            <c:numFmt formatCode="0" sourceLinked="0"/>
            <c:txPr>
              <a:bodyPr/>
              <a:lstStyle/>
              <a:p>
                <a:pPr>
                  <a:defRPr b="0" i="0" strike="noStrike" sz="1200" u="none">
                    <a:solidFill>
                      <a:srgbClr val="000000"/>
                    </a:solidFill>
                    <a:latin typeface="Graphik"/>
                  </a:defRPr>
                </a:pPr>
              </a:p>
            </c:txPr>
            <c:dLblPos val="inEnd"/>
            <c:showLegendKey val="0"/>
            <c:showVal val="1"/>
            <c:showCatName val="0"/>
            <c:showSerName val="0"/>
            <c:showPercent val="0"/>
            <c:showBubbleSize val="0"/>
            <c:showLeaderLines val="0"/>
          </c:dLbls>
          <c:cat>
            <c:strRef>
              <c:f>Sheet1!$A$2:$A$6</c:f>
              <c:strCache>
                <c:ptCount val="5"/>
                <c:pt idx="0">
                  <c:v>Accidental</c:v>
                </c:pt>
                <c:pt idx="1">
                  <c:v>Natural</c:v>
                </c:pt>
                <c:pt idx="2">
                  <c:v>Homicide</c:v>
                </c:pt>
                <c:pt idx="3">
                  <c:v>Suicide</c:v>
                </c:pt>
                <c:pt idx="4">
                  <c:v>Undetermined</c:v>
                </c:pt>
              </c:strCache>
            </c:strRef>
          </c:cat>
          <c:val>
            <c:numRef>
              <c:f>Sheet1!$B$2:$B$6</c:f>
              <c:numCache>
                <c:ptCount val="5"/>
                <c:pt idx="0">
                  <c:v>8.000000</c:v>
                </c:pt>
                <c:pt idx="1">
                  <c:v>5.000000</c:v>
                </c:pt>
                <c:pt idx="2">
                  <c:v>2.000000</c:v>
                </c:pt>
                <c:pt idx="3">
                  <c:v>2.000000</c:v>
                </c:pt>
                <c:pt idx="4">
                  <c:v>1.000000</c:v>
                </c:pt>
              </c:numCache>
            </c:numRef>
          </c:val>
        </c:ser>
        <c:gapWidth val="40"/>
        <c:overlap val="-10"/>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000000"/>
            </a:solidFill>
            <a:prstDash val="solid"/>
            <a:miter lim="400000"/>
          </a:ln>
        </c:spPr>
        <c:txPr>
          <a:bodyPr rot="0"/>
          <a:lstStyle/>
          <a:p>
            <a:pPr>
              <a:defRPr b="0" i="0" strike="noStrike" sz="1000" u="none">
                <a:solidFill>
                  <a:srgbClr val="000000"/>
                </a:solidFill>
                <a:latin typeface="Graphik"/>
              </a:defRPr>
            </a:pPr>
          </a:p>
        </c:txPr>
        <c:crossAx val="2094734553"/>
        <c:crosses val="autoZero"/>
        <c:auto val="1"/>
        <c:lblAlgn val="ctr"/>
        <c:noMultiLvlLbl val="1"/>
      </c:catAx>
      <c:valAx>
        <c:axId val="2094734553"/>
        <c:scaling>
          <c:orientation val="minMax"/>
        </c:scaling>
        <c:delete val="0"/>
        <c:axPos val="l"/>
        <c:majorGridlines>
          <c:spPr>
            <a:ln w="6350" cap="flat">
              <a:solidFill>
                <a:srgbClr val="B8B8B8"/>
              </a:solidFill>
              <a:prstDash val="solid"/>
              <a:miter lim="400000"/>
            </a:ln>
          </c:spPr>
        </c:majorGridlines>
        <c:numFmt formatCode="0" sourceLinked="0"/>
        <c:majorTickMark val="none"/>
        <c:minorTickMark val="none"/>
        <c:tickLblPos val="nextTo"/>
        <c:spPr>
          <a:ln w="12700" cap="flat">
            <a:noFill/>
            <a:prstDash val="solid"/>
            <a:miter lim="400000"/>
          </a:ln>
        </c:spPr>
        <c:txPr>
          <a:bodyPr rot="0"/>
          <a:lstStyle/>
          <a:p>
            <a:pPr>
              <a:defRPr b="0" i="0" strike="noStrike" sz="1000" u="none">
                <a:solidFill>
                  <a:srgbClr val="000000"/>
                </a:solidFill>
                <a:latin typeface="Graphik"/>
              </a:defRPr>
            </a:pPr>
          </a:p>
        </c:txPr>
        <c:crossAx val="2094734552"/>
        <c:crosses val="autoZero"/>
        <c:crossBetween val="between"/>
        <c:majorUnit val="2"/>
        <c:minorUnit val="1"/>
      </c:valAx>
      <c:spPr>
        <a:noFill/>
        <a:ln w="12700" cap="flat">
          <a:noFill/>
          <a:miter lim="400000"/>
        </a:ln>
        <a:effectLst/>
      </c:spPr>
    </c:plotArea>
    <c:plotVisOnly val="1"/>
    <c:dispBlanksAs val="gap"/>
  </c:chart>
  <c:spPr>
    <a:noFill/>
    <a:ln>
      <a:noFill/>
    </a:ln>
    <a:effectLst/>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roundedCorners val="0"/>
  <c:chart>
    <c:title>
      <c:tx>
        <c:rich>
          <a:bodyPr rot="0"/>
          <a:lstStyle/>
          <a:p>
            <a:pPr>
              <a:defRPr b="0" i="0" strike="noStrike" sz="1200" u="none">
                <a:solidFill>
                  <a:srgbClr val="000000"/>
                </a:solidFill>
                <a:latin typeface="Graphik"/>
              </a:defRPr>
            </a:pPr>
            <a:r>
              <a:rPr b="0" i="0" strike="noStrike" sz="1200" u="none">
                <a:solidFill>
                  <a:srgbClr val="000000"/>
                </a:solidFill>
                <a:latin typeface="Graphik"/>
              </a:rPr>
              <a:t>TOTAL CASES BY YEAR</a:t>
            </a:r>
          </a:p>
        </c:rich>
      </c:tx>
      <c:layout>
        <c:manualLayout>
          <c:xMode val="edge"/>
          <c:yMode val="edge"/>
          <c:x val="0.376052"/>
          <c:y val="0"/>
          <c:w val="0.247896"/>
          <c:h val="0.0785604"/>
        </c:manualLayout>
      </c:layout>
      <c:overlay val="1"/>
      <c:spPr>
        <a:noFill/>
        <a:effectLst/>
      </c:spPr>
    </c:title>
    <c:autoTitleDeleted val="1"/>
    <c:plotArea>
      <c:layout>
        <c:manualLayout>
          <c:layoutTarget val="inner"/>
          <c:xMode val="edge"/>
          <c:yMode val="edge"/>
          <c:x val="0.0688093"/>
          <c:y val="0.0785604"/>
          <c:w val="0.926191"/>
          <c:h val="0.820225"/>
        </c:manualLayout>
      </c:layout>
      <c:barChart>
        <c:barDir val="col"/>
        <c:grouping val="clustered"/>
        <c:varyColors val="0"/>
        <c:ser>
          <c:idx val="0"/>
          <c:order val="0"/>
          <c:tx>
            <c:strRef>
              <c:f>Sheet1!$B$1</c:f>
              <c:strCache>
                <c:ptCount val="1"/>
                <c:pt idx="0">
                  <c:v>YEAR</c:v>
                </c:pt>
              </c:strCache>
            </c:strRef>
          </c:tx>
          <c:spPr>
            <a:solidFill>
              <a:schemeClr val="accent3">
                <a:hueOff val="3534278"/>
                <a:satOff val="23024"/>
                <a:lumOff val="-14394"/>
              </a:schemeClr>
            </a:solidFill>
            <a:ln w="12700" cap="flat">
              <a:noFill/>
              <a:miter lim="400000"/>
            </a:ln>
            <a:effectLst/>
          </c:spPr>
          <c:invertIfNegative val="0"/>
          <c:dLbls>
            <c:numFmt formatCode="0" sourceLinked="0"/>
            <c:txPr>
              <a:bodyPr/>
              <a:lstStyle/>
              <a:p>
                <a:pPr>
                  <a:defRPr b="0" i="0" strike="noStrike" sz="1200" u="none">
                    <a:solidFill>
                      <a:srgbClr val="FFFFFF"/>
                    </a:solidFill>
                    <a:latin typeface="Graphik"/>
                  </a:defRPr>
                </a:pPr>
              </a:p>
            </c:txPr>
            <c:dLblPos val="inEnd"/>
            <c:showLegendKey val="0"/>
            <c:showVal val="1"/>
            <c:showCatName val="0"/>
            <c:showSerName val="0"/>
            <c:showPercent val="0"/>
            <c:showBubbleSize val="0"/>
            <c:showLeaderLines val="0"/>
          </c:dLbls>
          <c:cat>
            <c:strRef>
              <c:f>Sheet1!$A$2:$A$10</c:f>
              <c:strCache>
                <c:ptCount val="9"/>
                <c:pt idx="0">
                  <c:v>2013</c:v>
                </c:pt>
                <c:pt idx="1">
                  <c:v>2014</c:v>
                </c:pt>
                <c:pt idx="2">
                  <c:v>2015</c:v>
                </c:pt>
                <c:pt idx="3">
                  <c:v>2016</c:v>
                </c:pt>
                <c:pt idx="4">
                  <c:v>2017</c:v>
                </c:pt>
                <c:pt idx="5">
                  <c:v>2018</c:v>
                </c:pt>
                <c:pt idx="6">
                  <c:v>2019</c:v>
                </c:pt>
                <c:pt idx="7">
                  <c:v>2020</c:v>
                </c:pt>
                <c:pt idx="8">
                  <c:v>2021</c:v>
                </c:pt>
              </c:strCache>
            </c:strRef>
          </c:cat>
          <c:val>
            <c:numRef>
              <c:f>Sheet1!$B$2:$B$10</c:f>
              <c:numCache>
                <c:ptCount val="9"/>
                <c:pt idx="0">
                  <c:v>543.000000</c:v>
                </c:pt>
                <c:pt idx="1">
                  <c:v>655.000000</c:v>
                </c:pt>
                <c:pt idx="2">
                  <c:v>661.000000</c:v>
                </c:pt>
                <c:pt idx="3">
                  <c:v>625.000000</c:v>
                </c:pt>
                <c:pt idx="4">
                  <c:v>710.000000</c:v>
                </c:pt>
                <c:pt idx="5">
                  <c:v>727.000000</c:v>
                </c:pt>
                <c:pt idx="6">
                  <c:v>773.000000</c:v>
                </c:pt>
                <c:pt idx="7">
                  <c:v>1179.000000</c:v>
                </c:pt>
                <c:pt idx="8">
                  <c:v>1385.000000</c:v>
                </c:pt>
              </c:numCache>
            </c:numRef>
          </c:val>
        </c:ser>
        <c:gapWidth val="40"/>
        <c:overlap val="-10"/>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000000"/>
            </a:solidFill>
            <a:prstDash val="solid"/>
            <a:miter lim="400000"/>
          </a:ln>
        </c:spPr>
        <c:txPr>
          <a:bodyPr rot="0"/>
          <a:lstStyle/>
          <a:p>
            <a:pPr>
              <a:defRPr b="0" i="0" strike="noStrike" sz="1000" u="none">
                <a:solidFill>
                  <a:srgbClr val="000000"/>
                </a:solidFill>
                <a:latin typeface="Graphik"/>
              </a:defRPr>
            </a:pPr>
          </a:p>
        </c:txPr>
        <c:crossAx val="2094734553"/>
        <c:crosses val="autoZero"/>
        <c:auto val="1"/>
        <c:lblAlgn val="ctr"/>
        <c:noMultiLvlLbl val="1"/>
      </c:catAx>
      <c:valAx>
        <c:axId val="2094734553"/>
        <c:scaling>
          <c:orientation val="minMax"/>
        </c:scaling>
        <c:delete val="0"/>
        <c:axPos val="l"/>
        <c:majorGridlines>
          <c:spPr>
            <a:ln w="6350" cap="flat">
              <a:solidFill>
                <a:srgbClr val="B8B8B8"/>
              </a:solidFill>
              <a:prstDash val="solid"/>
              <a:miter lim="400000"/>
            </a:ln>
          </c:spPr>
        </c:majorGridlines>
        <c:numFmt formatCode="0" sourceLinked="0"/>
        <c:majorTickMark val="none"/>
        <c:minorTickMark val="none"/>
        <c:tickLblPos val="nextTo"/>
        <c:spPr>
          <a:ln w="12700" cap="flat">
            <a:noFill/>
            <a:prstDash val="solid"/>
            <a:miter lim="400000"/>
          </a:ln>
        </c:spPr>
        <c:txPr>
          <a:bodyPr rot="0"/>
          <a:lstStyle/>
          <a:p>
            <a:pPr>
              <a:defRPr b="0" i="0" strike="noStrike" sz="1000" u="none">
                <a:solidFill>
                  <a:srgbClr val="000000"/>
                </a:solidFill>
                <a:latin typeface="Graphik"/>
              </a:defRPr>
            </a:pPr>
          </a:p>
        </c:txPr>
        <c:crossAx val="2094734552"/>
        <c:crosses val="autoZero"/>
        <c:crossBetween val="between"/>
        <c:majorUnit val="350"/>
        <c:minorUnit val="175"/>
      </c:valAx>
      <c:spPr>
        <a:noFill/>
        <a:ln w="12700" cap="flat">
          <a:noFill/>
          <a:miter lim="400000"/>
        </a:ln>
        <a:effectLst/>
      </c:spPr>
    </c:plotArea>
    <c:legend>
      <c:legendPos val="b"/>
      <c:layout>
        <c:manualLayout>
          <c:xMode val="edge"/>
          <c:yMode val="edge"/>
          <c:x val="0.478034"/>
          <c:y val="0.952287"/>
          <c:w val="0.100938"/>
          <c:h val="0.0477129"/>
        </c:manualLayout>
      </c:layout>
      <c:overlay val="1"/>
      <c:spPr>
        <a:noFill/>
        <a:ln w="12700" cap="flat">
          <a:noFill/>
          <a:miter lim="400000"/>
        </a:ln>
        <a:effectLst/>
      </c:spPr>
      <c:txPr>
        <a:bodyPr rot="0"/>
        <a:lstStyle/>
        <a:p>
          <a:pPr>
            <a:defRPr b="0" i="0" strike="noStrike" sz="1000" u="none">
              <a:solidFill>
                <a:srgbClr val="000000"/>
              </a:solidFill>
              <a:latin typeface="Graphik"/>
            </a:defRPr>
          </a:pPr>
        </a:p>
      </c:txPr>
    </c:legend>
    <c:plotVisOnly val="1"/>
    <c:dispBlanksAs val="gap"/>
  </c:chart>
  <c:spPr>
    <a:noFill/>
    <a:ln>
      <a:noFill/>
    </a:ln>
    <a:effectLst/>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roundedCorners val="0"/>
  <c:chart>
    <c:autoTitleDeleted val="1"/>
    <c:plotArea>
      <c:layout>
        <c:manualLayout>
          <c:layoutTarget val="inner"/>
          <c:xMode val="edge"/>
          <c:yMode val="edge"/>
          <c:x val="0.0226106"/>
          <c:y val="0.0455123"/>
          <c:w val="0.972389"/>
          <c:h val="0.878482"/>
        </c:manualLayout>
      </c:layout>
      <c:barChart>
        <c:barDir val="col"/>
        <c:grouping val="clustered"/>
        <c:varyColors val="0"/>
        <c:ser>
          <c:idx val="0"/>
          <c:order val="0"/>
          <c:tx>
            <c:strRef>
              <c:f>Sheet1!$B$1</c:f>
              <c:strCache>
                <c:ptCount val="1"/>
                <c:pt idx="0">
                  <c:v>Series 1</c:v>
                </c:pt>
              </c:strCache>
            </c:strRef>
          </c:tx>
          <c:spPr>
            <a:solidFill>
              <a:srgbClr val="9CCEFF"/>
            </a:solidFill>
            <a:ln w="12700" cap="flat">
              <a:noFill/>
              <a:miter lim="400000"/>
            </a:ln>
            <a:effectLst/>
          </c:spPr>
          <c:invertIfNegative val="0"/>
          <c:dLbls>
            <c:numFmt formatCode="0" sourceLinked="0"/>
            <c:txPr>
              <a:bodyPr/>
              <a:lstStyle/>
              <a:p>
                <a:pPr>
                  <a:defRPr b="0" i="0" strike="noStrike" sz="1200" u="none">
                    <a:solidFill>
                      <a:srgbClr val="FFFFFF"/>
                    </a:solidFill>
                    <a:latin typeface="Graphik"/>
                  </a:defRPr>
                </a:pPr>
              </a:p>
            </c:txPr>
            <c:dLblPos val="inEnd"/>
            <c:showLegendKey val="0"/>
            <c:showVal val="1"/>
            <c:showCatName val="0"/>
            <c:showSerName val="0"/>
            <c:showPercent val="0"/>
            <c:showBubbleSize val="0"/>
            <c:showLeaderLines val="0"/>
          </c:dLbls>
          <c:cat>
            <c:strRef>
              <c:f>Sheet1!$A$2:$A$13</c:f>
              <c:strCache>
                <c:ptCount val="12"/>
                <c:pt idx="0">
                  <c:v>JAN</c:v>
                </c:pt>
                <c:pt idx="1">
                  <c:v>FEB</c:v>
                </c:pt>
                <c:pt idx="2">
                  <c:v>MAR</c:v>
                </c:pt>
                <c:pt idx="3">
                  <c:v>APRIL</c:v>
                </c:pt>
                <c:pt idx="4">
                  <c:v>MAY</c:v>
                </c:pt>
                <c:pt idx="5">
                  <c:v>JUNE</c:v>
                </c:pt>
                <c:pt idx="6">
                  <c:v>JULY</c:v>
                </c:pt>
                <c:pt idx="7">
                  <c:v>AUG</c:v>
                </c:pt>
                <c:pt idx="8">
                  <c:v>SEPT</c:v>
                </c:pt>
                <c:pt idx="9">
                  <c:v>OCT</c:v>
                </c:pt>
                <c:pt idx="10">
                  <c:v>NOV</c:v>
                </c:pt>
                <c:pt idx="11">
                  <c:v>DEC</c:v>
                </c:pt>
              </c:strCache>
            </c:strRef>
          </c:cat>
          <c:val>
            <c:numRef>
              <c:f>Sheet1!$B$2:$B$13</c:f>
              <c:numCache>
                <c:ptCount val="12"/>
                <c:pt idx="0">
                  <c:v>137.000000</c:v>
                </c:pt>
                <c:pt idx="1">
                  <c:v>91.000000</c:v>
                </c:pt>
                <c:pt idx="2">
                  <c:v>83.000000</c:v>
                </c:pt>
                <c:pt idx="3">
                  <c:v>83.000000</c:v>
                </c:pt>
                <c:pt idx="4">
                  <c:v>96.000000</c:v>
                </c:pt>
                <c:pt idx="5">
                  <c:v>92.000000</c:v>
                </c:pt>
                <c:pt idx="6">
                  <c:v>73.000000</c:v>
                </c:pt>
                <c:pt idx="7">
                  <c:v>84.000000</c:v>
                </c:pt>
                <c:pt idx="8">
                  <c:v>105.000000</c:v>
                </c:pt>
                <c:pt idx="9">
                  <c:v>149.000000</c:v>
                </c:pt>
                <c:pt idx="10">
                  <c:v>210.000000</c:v>
                </c:pt>
                <c:pt idx="11">
                  <c:v>182.000000</c:v>
                </c:pt>
              </c:numCache>
            </c:numRef>
          </c:val>
        </c:ser>
        <c:gapWidth val="40"/>
        <c:overlap val="-10"/>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000000"/>
            </a:solidFill>
            <a:prstDash val="solid"/>
            <a:miter lim="400000"/>
          </a:ln>
        </c:spPr>
        <c:txPr>
          <a:bodyPr rot="0"/>
          <a:lstStyle/>
          <a:p>
            <a:pPr>
              <a:defRPr b="0" i="0" strike="noStrike" sz="1000" u="none">
                <a:solidFill>
                  <a:srgbClr val="000000"/>
                </a:solidFill>
                <a:latin typeface="Graphik"/>
              </a:defRPr>
            </a:pPr>
          </a:p>
        </c:txPr>
        <c:crossAx val="2094734553"/>
        <c:crosses val="autoZero"/>
        <c:auto val="1"/>
        <c:lblAlgn val="ctr"/>
        <c:noMultiLvlLbl val="1"/>
      </c:catAx>
      <c:valAx>
        <c:axId val="2094734553"/>
        <c:scaling>
          <c:orientation val="minMax"/>
        </c:scaling>
        <c:delete val="0"/>
        <c:axPos val="l"/>
        <c:majorGridlines>
          <c:spPr>
            <a:ln w="6350" cap="flat">
              <a:solidFill>
                <a:srgbClr val="B8B8B8"/>
              </a:solidFill>
              <a:prstDash val="solid"/>
              <a:miter lim="400000"/>
            </a:ln>
          </c:spPr>
        </c:majorGridlines>
        <c:numFmt formatCode="0" sourceLinked="0"/>
        <c:majorTickMark val="none"/>
        <c:minorTickMark val="none"/>
        <c:tickLblPos val="none"/>
        <c:spPr>
          <a:ln w="12700" cap="flat">
            <a:noFill/>
            <a:prstDash val="solid"/>
            <a:miter lim="400000"/>
          </a:ln>
        </c:spPr>
        <c:txPr>
          <a:bodyPr rot="0"/>
          <a:lstStyle/>
          <a:p>
            <a:pPr>
              <a:defRPr b="0" i="0" strike="noStrike" sz="1000" u="none">
                <a:solidFill>
                  <a:srgbClr val="000000"/>
                </a:solidFill>
                <a:latin typeface="Graphik"/>
              </a:defRPr>
            </a:pPr>
          </a:p>
        </c:txPr>
        <c:crossAx val="2094734552"/>
        <c:crosses val="autoZero"/>
        <c:crossBetween val="between"/>
        <c:majorUnit val="55"/>
        <c:minorUnit val="27.5"/>
      </c:valAx>
      <c:spPr>
        <a:noFill/>
        <a:ln w="12700" cap="flat">
          <a:noFill/>
          <a:miter lim="400000"/>
        </a:ln>
        <a:effectLst/>
      </c:spPr>
    </c:plotArea>
    <c:plotVisOnly val="1"/>
    <c:dispBlanksAs val="gap"/>
  </c:chart>
  <c:spPr>
    <a:noFill/>
    <a:ln>
      <a:noFill/>
    </a:ln>
    <a:effectLst/>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roundedCorners val="0"/>
  <c:chart>
    <c:title>
      <c:tx>
        <c:rich>
          <a:bodyPr rot="0"/>
          <a:lstStyle/>
          <a:p>
            <a:pPr>
              <a:defRPr b="0" i="0" strike="noStrike" sz="1200" u="none">
                <a:solidFill>
                  <a:srgbClr val="000000"/>
                </a:solidFill>
                <a:latin typeface="Graphik"/>
              </a:defRPr>
            </a:pPr>
            <a:r>
              <a:rPr b="0" i="0" strike="noStrike" sz="1200" u="none">
                <a:solidFill>
                  <a:srgbClr val="000000"/>
                </a:solidFill>
                <a:latin typeface="Graphik"/>
              </a:rPr>
              <a:t>COVID-RELATED DEATHS BY MONTH</a:t>
            </a:r>
          </a:p>
        </c:rich>
      </c:tx>
      <c:layout>
        <c:manualLayout>
          <c:xMode val="edge"/>
          <c:yMode val="edge"/>
          <c:x val="0.272963"/>
          <c:y val="0"/>
          <c:w val="0.454073"/>
          <c:h val="0.100244"/>
        </c:manualLayout>
      </c:layout>
      <c:overlay val="1"/>
      <c:spPr>
        <a:noFill/>
        <a:effectLst/>
      </c:spPr>
    </c:title>
    <c:autoTitleDeleted val="1"/>
    <c:plotArea>
      <c:layout>
        <c:manualLayout>
          <c:layoutTarget val="inner"/>
          <c:xMode val="edge"/>
          <c:yMode val="edge"/>
          <c:x val="0.0632665"/>
          <c:y val="0.100244"/>
          <c:w val="0.931734"/>
          <c:h val="0.82456"/>
        </c:manualLayout>
      </c:layout>
      <c:barChart>
        <c:barDir val="col"/>
        <c:grouping val="clustered"/>
        <c:varyColors val="0"/>
        <c:ser>
          <c:idx val="0"/>
          <c:order val="0"/>
          <c:tx>
            <c:strRef>
              <c:f>Sheet1!$A$2</c:f>
              <c:strCache>
                <c:ptCount val="1"/>
                <c:pt idx="0">
                  <c:v>MONTH</c:v>
                </c:pt>
              </c:strCache>
            </c:strRef>
          </c:tx>
          <c:spPr>
            <a:solidFill>
              <a:srgbClr val="236DFF"/>
            </a:solidFill>
            <a:ln w="12700" cap="flat">
              <a:noFill/>
              <a:miter lim="400000"/>
            </a:ln>
            <a:effectLst/>
          </c:spPr>
          <c:invertIfNegative val="0"/>
          <c:dLbls>
            <c:numFmt formatCode="#,##0" sourceLinked="0"/>
            <c:txPr>
              <a:bodyPr/>
              <a:lstStyle/>
              <a:p>
                <a:pPr>
                  <a:defRPr b="0" i="0" strike="noStrike" sz="1200" u="none">
                    <a:solidFill>
                      <a:srgbClr val="FFFFFF"/>
                    </a:solidFill>
                    <a:latin typeface="Graphik"/>
                  </a:defRPr>
                </a:pPr>
              </a:p>
            </c:txPr>
            <c:dLblPos val="inEnd"/>
            <c:showLegendKey val="0"/>
            <c:showVal val="0"/>
            <c:showCatName val="0"/>
            <c:showSerName val="0"/>
            <c:showPercent val="0"/>
            <c:showBubbleSize val="0"/>
            <c:showLeaderLines val="0"/>
          </c:dLbls>
          <c:cat>
            <c:strRef>
              <c:f>Sheet1!$B$1:$M$1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Sheet1!$B$2:$M$2</c:f>
              <c:numCache>
                <c:ptCount val="12"/>
                <c:pt idx="0">
                  <c:v>35.000000</c:v>
                </c:pt>
                <c:pt idx="1">
                  <c:v>8.000000</c:v>
                </c:pt>
                <c:pt idx="2">
                  <c:v>2.000000</c:v>
                </c:pt>
                <c:pt idx="3">
                  <c:v>17.000000</c:v>
                </c:pt>
                <c:pt idx="4">
                  <c:v>24.000000</c:v>
                </c:pt>
                <c:pt idx="5">
                  <c:v>17.000000</c:v>
                </c:pt>
                <c:pt idx="6">
                  <c:v>10.000000</c:v>
                </c:pt>
                <c:pt idx="7">
                  <c:v>14.000000</c:v>
                </c:pt>
                <c:pt idx="8">
                  <c:v>21.000000</c:v>
                </c:pt>
                <c:pt idx="9">
                  <c:v>56.000000</c:v>
                </c:pt>
                <c:pt idx="10">
                  <c:v>112.000000</c:v>
                </c:pt>
                <c:pt idx="11">
                  <c:v>79.000000</c:v>
                </c:pt>
              </c:numCache>
            </c:numRef>
          </c:val>
        </c:ser>
        <c:gapWidth val="40"/>
        <c:overlap val="-10"/>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000000"/>
            </a:solidFill>
            <a:prstDash val="solid"/>
            <a:miter lim="400000"/>
          </a:ln>
        </c:spPr>
        <c:txPr>
          <a:bodyPr rot="0"/>
          <a:lstStyle/>
          <a:p>
            <a:pPr>
              <a:defRPr b="0" i="0" strike="noStrike" sz="1000" u="none">
                <a:solidFill>
                  <a:srgbClr val="000000"/>
                </a:solidFill>
                <a:latin typeface="Graphik"/>
              </a:defRPr>
            </a:pPr>
          </a:p>
        </c:txPr>
        <c:crossAx val="2094734553"/>
        <c:crosses val="autoZero"/>
        <c:auto val="1"/>
        <c:lblAlgn val="ctr"/>
        <c:noMultiLvlLbl val="1"/>
      </c:catAx>
      <c:valAx>
        <c:axId val="2094734553"/>
        <c:scaling>
          <c:orientation val="minMax"/>
        </c:scaling>
        <c:delete val="0"/>
        <c:axPos val="l"/>
        <c:majorGridlines>
          <c:spPr>
            <a:ln w="6350" cap="flat">
              <a:solidFill>
                <a:srgbClr val="B8B8B8"/>
              </a:solidFill>
              <a:prstDash val="solid"/>
              <a:miter lim="400000"/>
            </a:ln>
          </c:spPr>
        </c:majorGridlines>
        <c:numFmt formatCode="General" sourceLinked="0"/>
        <c:majorTickMark val="none"/>
        <c:minorTickMark val="none"/>
        <c:tickLblPos val="nextTo"/>
        <c:spPr>
          <a:ln w="12700" cap="flat">
            <a:noFill/>
            <a:prstDash val="solid"/>
            <a:miter lim="400000"/>
          </a:ln>
        </c:spPr>
        <c:txPr>
          <a:bodyPr rot="0"/>
          <a:lstStyle/>
          <a:p>
            <a:pPr>
              <a:defRPr b="0" i="0" strike="noStrike" sz="1000" u="none">
                <a:solidFill>
                  <a:srgbClr val="000000"/>
                </a:solidFill>
                <a:latin typeface="Graphik"/>
              </a:defRPr>
            </a:pPr>
          </a:p>
        </c:txPr>
        <c:crossAx val="2094734552"/>
        <c:crosses val="autoZero"/>
        <c:crossBetween val="between"/>
        <c:majorUnit val="30"/>
        <c:minorUnit val="15"/>
      </c:valAx>
      <c:spPr>
        <a:noFill/>
        <a:ln w="12700" cap="flat">
          <a:noFill/>
          <a:miter lim="400000"/>
        </a:ln>
        <a:effectLst/>
      </c:spPr>
    </c:plotArea>
    <c:plotVisOnly val="1"/>
    <c:dispBlanksAs val="gap"/>
  </c:chart>
  <c:spPr>
    <a:noFill/>
    <a:ln>
      <a:noFill/>
    </a:ln>
    <a:effectLst/>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roundedCorners val="0"/>
  <c:chart>
    <c:autoTitleDeleted val="1"/>
    <c:plotArea>
      <c:layout>
        <c:manualLayout>
          <c:layoutTarget val="inner"/>
          <c:xMode val="edge"/>
          <c:yMode val="edge"/>
          <c:x val="0.139972"/>
          <c:y val="0.127977"/>
          <c:w val="0.720056"/>
          <c:h val="0.80039"/>
        </c:manualLayout>
      </c:layout>
      <c:pieChart>
        <c:varyColors val="0"/>
        <c:ser>
          <c:idx val="0"/>
          <c:order val="0"/>
          <c:tx>
            <c:strRef>
              <c:f>Sheet1!$A$2</c:f>
              <c:strCache>
                <c:ptCount val="1"/>
                <c:pt idx="0">
                  <c:v>Region 1</c:v>
                </c:pt>
              </c:strCache>
            </c:strRef>
          </c:tx>
          <c:spPr>
            <a:solidFill>
              <a:srgbClr val="236DFF"/>
            </a:solidFill>
            <a:ln w="12700" cap="flat">
              <a:noFill/>
              <a:miter lim="400000"/>
            </a:ln>
            <a:effectLst/>
          </c:spPr>
          <c:explosion val="0"/>
          <c:dPt>
            <c:idx val="0"/>
            <c:explosion val="0"/>
            <c:spPr>
              <a:solidFill>
                <a:srgbClr val="236DFF"/>
              </a:solidFill>
              <a:ln w="12700" cap="flat">
                <a:noFill/>
                <a:miter lim="400000"/>
              </a:ln>
              <a:effectLst/>
            </c:spPr>
          </c:dPt>
          <c:dPt>
            <c:idx val="1"/>
            <c:explosion val="0"/>
            <c:spPr>
              <a:solidFill>
                <a:schemeClr val="accent3">
                  <a:hueOff val="3534278"/>
                  <a:satOff val="23024"/>
                  <a:lumOff val="-14394"/>
                </a:schemeClr>
              </a:solidFill>
              <a:ln w="12700" cap="flat">
                <a:noFill/>
                <a:miter lim="400000"/>
              </a:ln>
              <a:effectLst/>
            </c:spPr>
          </c:dPt>
          <c:dPt>
            <c:idx val="2"/>
            <c:explosion val="0"/>
            <c:spPr>
              <a:solidFill>
                <a:srgbClr val="28BA29"/>
              </a:solidFill>
              <a:ln w="12700" cap="flat">
                <a:noFill/>
                <a:miter lim="400000"/>
              </a:ln>
              <a:effectLst/>
            </c:spPr>
          </c:dPt>
          <c:dPt>
            <c:idx val="3"/>
            <c:explosion val="0"/>
            <c:spPr>
              <a:solidFill>
                <a:schemeClr val="accent4">
                  <a:hueOff val="-512129"/>
                </a:schemeClr>
              </a:solidFill>
              <a:ln w="12700" cap="flat">
                <a:noFill/>
                <a:miter lim="400000"/>
              </a:ln>
              <a:effectLst/>
            </c:spPr>
          </c:dPt>
          <c:dPt>
            <c:idx val="4"/>
            <c:explosion val="0"/>
            <c:spPr>
              <a:solidFill>
                <a:schemeClr val="accent6">
                  <a:hueOff val="3365832"/>
                  <a:lumOff val="-25038"/>
                </a:schemeClr>
              </a:solidFill>
              <a:ln w="12700" cap="flat">
                <a:noFill/>
                <a:miter lim="400000"/>
              </a:ln>
              <a:effectLst/>
            </c:spPr>
          </c:dPt>
          <c:dLbls>
            <c:dLbl>
              <c:idx val="0"/>
              <c:numFmt formatCode="#,##0%" sourceLinked="0"/>
              <c:txPr>
                <a:bodyPr/>
                <a:lstStyle/>
                <a:p>
                  <a:pPr>
                    <a:defRPr b="0" i="0" strike="noStrike" sz="1200" u="none">
                      <a:solidFill>
                        <a:srgbClr val="FFFFFF"/>
                      </a:solidFill>
                      <a:latin typeface="Graphik"/>
                    </a:defRPr>
                  </a:pPr>
                </a:p>
              </c:txPr>
              <c:dLblPos val="ctr"/>
              <c:showLegendKey val="0"/>
              <c:showVal val="0"/>
              <c:showCatName val="1"/>
              <c:showSerName val="0"/>
              <c:showPercent val="1"/>
              <c:showBubbleSize val="0"/>
            </c:dLbl>
            <c:dLbl>
              <c:idx val="1"/>
              <c:numFmt formatCode="#,##0%" sourceLinked="0"/>
              <c:txPr>
                <a:bodyPr/>
                <a:lstStyle/>
                <a:p>
                  <a:pPr>
                    <a:defRPr b="0" i="0" strike="noStrike" sz="1200" u="none">
                      <a:solidFill>
                        <a:srgbClr val="FFFFFF"/>
                      </a:solidFill>
                      <a:latin typeface="Graphik"/>
                    </a:defRPr>
                  </a:pPr>
                </a:p>
              </c:txPr>
              <c:dLblPos val="ctr"/>
              <c:showLegendKey val="0"/>
              <c:showVal val="0"/>
              <c:showCatName val="1"/>
              <c:showSerName val="0"/>
              <c:showPercent val="1"/>
              <c:showBubbleSize val="0"/>
            </c:dLbl>
            <c:dLbl>
              <c:idx val="2"/>
              <c:numFmt formatCode="#,##0%" sourceLinked="0"/>
              <c:txPr>
                <a:bodyPr/>
                <a:lstStyle/>
                <a:p>
                  <a:pPr>
                    <a:defRPr b="0" i="0" strike="noStrike" sz="1200" u="none">
                      <a:solidFill>
                        <a:srgbClr val="FFFFFF"/>
                      </a:solidFill>
                      <a:latin typeface="Graphik"/>
                    </a:defRPr>
                  </a:pPr>
                </a:p>
              </c:txPr>
              <c:dLblPos val="ctr"/>
              <c:showLegendKey val="0"/>
              <c:showVal val="0"/>
              <c:showCatName val="1"/>
              <c:showSerName val="0"/>
              <c:showPercent val="1"/>
              <c:showBubbleSize val="0"/>
            </c:dLbl>
            <c:dLbl>
              <c:idx val="3"/>
              <c:numFmt formatCode="#,##0%" sourceLinked="0"/>
              <c:txPr>
                <a:bodyPr/>
                <a:lstStyle/>
                <a:p>
                  <a:pPr>
                    <a:defRPr b="0" i="0" strike="noStrike" sz="1200" u="none">
                      <a:solidFill>
                        <a:srgbClr val="FFFFFF"/>
                      </a:solidFill>
                      <a:latin typeface="Graphik"/>
                    </a:defRPr>
                  </a:pPr>
                </a:p>
              </c:txPr>
              <c:dLblPos val="ctr"/>
              <c:showLegendKey val="0"/>
              <c:showVal val="0"/>
              <c:showCatName val="1"/>
              <c:showSerName val="0"/>
              <c:showPercent val="1"/>
              <c:showBubbleSize val="0"/>
            </c:dLbl>
            <c:dLbl>
              <c:idx val="4"/>
              <c:numFmt formatCode="#,##0%" sourceLinked="0"/>
              <c:txPr>
                <a:bodyPr/>
                <a:lstStyle/>
                <a:p>
                  <a:pPr>
                    <a:defRPr b="0" i="0" strike="noStrike" sz="1200" u="none">
                      <a:solidFill>
                        <a:srgbClr val="FFFFFF"/>
                      </a:solidFill>
                      <a:latin typeface="Graphik"/>
                    </a:defRPr>
                  </a:pPr>
                </a:p>
              </c:txPr>
              <c:dLblPos val="ctr"/>
              <c:showLegendKey val="0"/>
              <c:showVal val="0"/>
              <c:showCatName val="1"/>
              <c:showSerName val="0"/>
              <c:showPercent val="1"/>
              <c:showBubbleSize val="0"/>
            </c:dLbl>
            <c:numFmt formatCode="#,##0%" sourceLinked="0"/>
            <c:txPr>
              <a:bodyPr/>
              <a:lstStyle/>
              <a:p>
                <a:pPr>
                  <a:defRPr b="0" i="0" strike="noStrike" sz="1200" u="none">
                    <a:solidFill>
                      <a:srgbClr val="FFFFFF"/>
                    </a:solidFill>
                    <a:latin typeface="Graphik"/>
                  </a:defRPr>
                </a:pPr>
              </a:p>
            </c:txPr>
            <c:dLblPos val="ctr"/>
            <c:showLegendKey val="0"/>
            <c:showVal val="0"/>
            <c:showCatName val="1"/>
            <c:showSerName val="0"/>
            <c:showPercent val="1"/>
            <c:showBubbleSize val="0"/>
            <c:showLeaderLines val="1"/>
            <c:leaderLines>
              <c:spPr>
                <a:noFill/>
                <a:ln w="6350" cap="flat">
                  <a:solidFill>
                    <a:srgbClr val="000000"/>
                  </a:solidFill>
                  <a:prstDash val="solid"/>
                  <a:miter lim="400000"/>
                </a:ln>
                <a:effectLst/>
              </c:spPr>
            </c:leaderLines>
          </c:dLbls>
          <c:cat>
            <c:strRef>
              <c:f>Sheet1!$B$1:$F$1</c:f>
              <c:strCache>
                <c:ptCount val="5"/>
                <c:pt idx="0">
                  <c:v>Natural - 1148</c:v>
                </c:pt>
                <c:pt idx="1">
                  <c:v>Suicide - 52</c:v>
                </c:pt>
                <c:pt idx="2">
                  <c:v>Accidental - 153</c:v>
                </c:pt>
                <c:pt idx="3">
                  <c:v>Homicide - 26</c:v>
                </c:pt>
                <c:pt idx="4">
                  <c:v>Undetermined - 5</c:v>
                </c:pt>
              </c:strCache>
            </c:strRef>
          </c:cat>
          <c:val>
            <c:numRef>
              <c:f>Sheet1!$B$2:$F$2</c:f>
              <c:numCache>
                <c:ptCount val="5"/>
                <c:pt idx="0">
                  <c:v>1148.000000</c:v>
                </c:pt>
                <c:pt idx="1">
                  <c:v>52.000000</c:v>
                </c:pt>
                <c:pt idx="2">
                  <c:v>153.000000</c:v>
                </c:pt>
                <c:pt idx="3">
                  <c:v>26.000000</c:v>
                </c:pt>
                <c:pt idx="4">
                  <c:v>5.000000</c:v>
                </c:pt>
              </c:numCache>
            </c:numRef>
          </c:val>
        </c:ser>
        <c:firstSliceAng val="0"/>
      </c:pieChart>
      <c:spPr>
        <a:noFill/>
        <a:ln w="12700" cap="flat">
          <a:noFill/>
          <a:miter lim="400000"/>
        </a:ln>
        <a:effectLst/>
      </c:spPr>
    </c:plotArea>
    <c:legend>
      <c:legendPos val="t"/>
      <c:layout>
        <c:manualLayout>
          <c:xMode val="edge"/>
          <c:yMode val="edge"/>
          <c:x val="0"/>
          <c:y val="0"/>
          <c:w val="1"/>
          <c:h val="0.0548018"/>
        </c:manualLayout>
      </c:layout>
      <c:overlay val="1"/>
      <c:spPr>
        <a:noFill/>
        <a:ln w="12700" cap="flat">
          <a:noFill/>
          <a:miter lim="400000"/>
        </a:ln>
        <a:effectLst/>
      </c:spPr>
      <c:txPr>
        <a:bodyPr rot="0"/>
        <a:lstStyle/>
        <a:p>
          <a:pPr>
            <a:defRPr b="0" i="0" strike="noStrike" sz="1000" u="none">
              <a:solidFill>
                <a:srgbClr val="000000"/>
              </a:solidFill>
              <a:latin typeface="Graphik"/>
            </a:defRPr>
          </a:pPr>
        </a:p>
      </c:txPr>
    </c:legend>
    <c:plotVisOnly val="1"/>
    <c:dispBlanksAs val="gap"/>
  </c:chart>
  <c:spPr>
    <a:noFill/>
    <a:ln>
      <a:noFill/>
    </a:ln>
    <a:effectLst/>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roundedCorners val="0"/>
  <c:chart>
    <c:title>
      <c:tx>
        <c:rich>
          <a:bodyPr rot="0"/>
          <a:lstStyle/>
          <a:p>
            <a:pPr>
              <a:defRPr b="0" i="0" strike="noStrike" sz="1200" u="none">
                <a:solidFill>
                  <a:srgbClr val="000000"/>
                </a:solidFill>
                <a:latin typeface="Graphik"/>
              </a:defRPr>
            </a:pPr>
            <a:r>
              <a:rPr b="0" i="0" strike="noStrike" sz="1200" u="none">
                <a:solidFill>
                  <a:srgbClr val="000000"/>
                </a:solidFill>
                <a:latin typeface="Graphik"/>
              </a:rPr>
              <a:t>2021 NATURAL DEATHS BY MONTH
TOTAL:  1148</a:t>
            </a:r>
          </a:p>
        </c:rich>
      </c:tx>
      <c:layout>
        <c:manualLayout>
          <c:xMode val="edge"/>
          <c:yMode val="edge"/>
          <c:x val="0.235295"/>
          <c:y val="0"/>
          <c:w val="0.52941"/>
          <c:h val="0.146493"/>
        </c:manualLayout>
      </c:layout>
      <c:overlay val="1"/>
      <c:spPr>
        <a:noFill/>
        <a:effectLst/>
      </c:spPr>
    </c:title>
    <c:autoTitleDeleted val="1"/>
    <c:plotArea>
      <c:layout>
        <c:manualLayout>
          <c:layoutTarget val="inner"/>
          <c:xMode val="edge"/>
          <c:yMode val="edge"/>
          <c:x val="0.0224981"/>
          <c:y val="0.146493"/>
          <c:w val="0.972502"/>
          <c:h val="0.782121"/>
        </c:manualLayout>
      </c:layout>
      <c:barChart>
        <c:barDir val="col"/>
        <c:grouping val="clustered"/>
        <c:varyColors val="0"/>
        <c:ser>
          <c:idx val="0"/>
          <c:order val="0"/>
          <c:tx>
            <c:strRef>
              <c:f>Sheet1!$B$1</c:f>
              <c:strCache>
                <c:ptCount val="1"/>
                <c:pt idx="0">
                  <c:v>2021 NATURAL DEATHS</c:v>
                </c:pt>
              </c:strCache>
            </c:strRef>
          </c:tx>
          <c:spPr>
            <a:solidFill>
              <a:srgbClr val="236DFF"/>
            </a:solidFill>
            <a:ln w="12700" cap="flat">
              <a:noFill/>
              <a:miter lim="400000"/>
            </a:ln>
            <a:effectLst/>
          </c:spPr>
          <c:invertIfNegative val="0"/>
          <c:dLbls>
            <c:numFmt formatCode="0" sourceLinked="0"/>
            <c:txPr>
              <a:bodyPr/>
              <a:lstStyle/>
              <a:p>
                <a:pPr>
                  <a:defRPr b="0" i="0" strike="noStrike" sz="1200" u="none">
                    <a:solidFill>
                      <a:srgbClr val="FFFFFF"/>
                    </a:solidFill>
                    <a:latin typeface="Graphik"/>
                  </a:defRPr>
                </a:pPr>
              </a:p>
            </c:txPr>
            <c:dLblPos val="inEnd"/>
            <c:showLegendKey val="0"/>
            <c:showVal val="1"/>
            <c:showCatName val="0"/>
            <c:showSerName val="0"/>
            <c:showPercent val="0"/>
            <c:showBubbleSize val="0"/>
            <c:showLeaderLines val="0"/>
          </c:dLbls>
          <c:cat>
            <c:strRef>
              <c:f>Sheet1!$A$2:$A$13</c:f>
              <c:strCache>
                <c:ptCount val="12"/>
                <c:pt idx="0">
                  <c:v>JAN</c:v>
                </c:pt>
                <c:pt idx="1">
                  <c:v>FEB</c:v>
                </c:pt>
                <c:pt idx="2">
                  <c:v>MAR</c:v>
                </c:pt>
                <c:pt idx="3">
                  <c:v>APR</c:v>
                </c:pt>
                <c:pt idx="4">
                  <c:v>MAY</c:v>
                </c:pt>
                <c:pt idx="5">
                  <c:v>JUNE</c:v>
                </c:pt>
                <c:pt idx="6">
                  <c:v>JULY</c:v>
                </c:pt>
                <c:pt idx="7">
                  <c:v>AUG</c:v>
                </c:pt>
                <c:pt idx="8">
                  <c:v>SEPT</c:v>
                </c:pt>
                <c:pt idx="9">
                  <c:v>OCT</c:v>
                </c:pt>
                <c:pt idx="10">
                  <c:v>NOV</c:v>
                </c:pt>
                <c:pt idx="11">
                  <c:v>DEC</c:v>
                </c:pt>
              </c:strCache>
            </c:strRef>
          </c:cat>
          <c:val>
            <c:numRef>
              <c:f>Sheet1!$B$2:$B$13</c:f>
              <c:numCache>
                <c:ptCount val="12"/>
                <c:pt idx="0">
                  <c:v>119.000000</c:v>
                </c:pt>
                <c:pt idx="1">
                  <c:v>71.000000</c:v>
                </c:pt>
                <c:pt idx="2">
                  <c:v>60.000000</c:v>
                </c:pt>
                <c:pt idx="3">
                  <c:v>67.000000</c:v>
                </c:pt>
                <c:pt idx="4">
                  <c:v>76.000000</c:v>
                </c:pt>
                <c:pt idx="5">
                  <c:v>66.000000</c:v>
                </c:pt>
                <c:pt idx="6">
                  <c:v>63.000000</c:v>
                </c:pt>
                <c:pt idx="7">
                  <c:v>63.000000</c:v>
                </c:pt>
                <c:pt idx="8">
                  <c:v>86.000000</c:v>
                </c:pt>
                <c:pt idx="9">
                  <c:v>131.000000</c:v>
                </c:pt>
                <c:pt idx="10">
                  <c:v>181.000000</c:v>
                </c:pt>
                <c:pt idx="11">
                  <c:v>165.000000</c:v>
                </c:pt>
              </c:numCache>
            </c:numRef>
          </c:val>
        </c:ser>
        <c:gapWidth val="40"/>
        <c:overlap val="-10"/>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000000"/>
            </a:solidFill>
            <a:prstDash val="solid"/>
            <a:miter lim="400000"/>
          </a:ln>
        </c:spPr>
        <c:txPr>
          <a:bodyPr rot="0"/>
          <a:lstStyle/>
          <a:p>
            <a:pPr>
              <a:defRPr b="0" i="0" strike="noStrike" sz="1000" u="none">
                <a:solidFill>
                  <a:srgbClr val="000000"/>
                </a:solidFill>
                <a:latin typeface="Graphik"/>
              </a:defRPr>
            </a:pPr>
          </a:p>
        </c:txPr>
        <c:crossAx val="2094734553"/>
        <c:crosses val="autoZero"/>
        <c:auto val="1"/>
        <c:lblAlgn val="ctr"/>
        <c:noMultiLvlLbl val="1"/>
      </c:catAx>
      <c:valAx>
        <c:axId val="2094734553"/>
        <c:scaling>
          <c:orientation val="minMax"/>
        </c:scaling>
        <c:delete val="0"/>
        <c:axPos val="l"/>
        <c:majorGridlines>
          <c:spPr>
            <a:ln w="6350" cap="flat">
              <a:solidFill>
                <a:srgbClr val="B8B8B8"/>
              </a:solidFill>
              <a:prstDash val="solid"/>
              <a:miter lim="400000"/>
            </a:ln>
          </c:spPr>
        </c:majorGridlines>
        <c:numFmt formatCode="0" sourceLinked="0"/>
        <c:majorTickMark val="none"/>
        <c:minorTickMark val="none"/>
        <c:tickLblPos val="none"/>
        <c:spPr>
          <a:ln w="12700" cap="flat">
            <a:noFill/>
            <a:prstDash val="solid"/>
            <a:miter lim="400000"/>
          </a:ln>
        </c:spPr>
        <c:txPr>
          <a:bodyPr rot="0"/>
          <a:lstStyle/>
          <a:p>
            <a:pPr>
              <a:defRPr b="0" i="0" strike="noStrike" sz="1000" u="none">
                <a:solidFill>
                  <a:srgbClr val="000000"/>
                </a:solidFill>
                <a:latin typeface="Graphik"/>
              </a:defRPr>
            </a:pPr>
          </a:p>
        </c:txPr>
        <c:crossAx val="2094734552"/>
        <c:crosses val="autoZero"/>
        <c:crossBetween val="between"/>
        <c:majorUnit val="50"/>
        <c:minorUnit val="25"/>
      </c:valAx>
      <c:spPr>
        <a:noFill/>
        <a:ln w="12700" cap="flat">
          <a:noFill/>
          <a:miter lim="400000"/>
        </a:ln>
        <a:effectLst/>
      </c:spPr>
    </c:plotArea>
    <c:plotVisOnly val="1"/>
    <c:dispBlanksAs val="gap"/>
  </c:chart>
  <c:spPr>
    <a:noFill/>
    <a:ln>
      <a:noFill/>
    </a:ln>
    <a:effectLst/>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1"/>
  <c:roundedCorners val="0"/>
  <c:chart>
    <c:title>
      <c:tx>
        <c:rich>
          <a:bodyPr rot="0"/>
          <a:lstStyle/>
          <a:p>
            <a:pPr>
              <a:defRPr b="1" i="0" strike="noStrike" sz="1200" u="none">
                <a:solidFill>
                  <a:srgbClr val="000000"/>
                </a:solidFill>
                <a:latin typeface="Graphik"/>
              </a:defRPr>
            </a:pPr>
            <a:r>
              <a:rPr b="1" i="0" strike="noStrike" sz="1200" u="none">
                <a:solidFill>
                  <a:srgbClr val="000000"/>
                </a:solidFill>
                <a:latin typeface="Graphik"/>
              </a:rPr>
              <a:t>2021 SUICIDE DEATHS BY MONTH
TOTAL:  52</a:t>
            </a:r>
          </a:p>
        </c:rich>
      </c:tx>
      <c:layout>
        <c:manualLayout>
          <c:xMode val="edge"/>
          <c:yMode val="edge"/>
          <c:x val="0.240172"/>
          <c:y val="0"/>
          <c:w val="0.519656"/>
          <c:h val="0.153011"/>
        </c:manualLayout>
      </c:layout>
      <c:overlay val="1"/>
      <c:spPr>
        <a:noFill/>
        <a:effectLst/>
      </c:spPr>
    </c:title>
    <c:autoTitleDeleted val="1"/>
    <c:plotArea>
      <c:layout>
        <c:manualLayout>
          <c:layoutTarget val="inner"/>
          <c:xMode val="edge"/>
          <c:yMode val="edge"/>
          <c:x val="0.0375327"/>
          <c:y val="0.153011"/>
          <c:w val="0.957467"/>
          <c:h val="0.772983"/>
        </c:manualLayout>
      </c:layout>
      <c:barChart>
        <c:barDir val="col"/>
        <c:grouping val="clustered"/>
        <c:varyColors val="0"/>
        <c:ser>
          <c:idx val="0"/>
          <c:order val="0"/>
          <c:tx>
            <c:strRef>
              <c:f>Sheet1!$B$1</c:f>
              <c:strCache>
                <c:ptCount val="1"/>
                <c:pt idx="0">
                  <c:v>Suicide Deaths 2020</c:v>
                </c:pt>
              </c:strCache>
            </c:strRef>
          </c:tx>
          <c:spPr>
            <a:solidFill>
              <a:srgbClr val="236DFF"/>
            </a:solidFill>
            <a:ln w="12700" cap="flat">
              <a:noFill/>
              <a:miter lim="400000"/>
            </a:ln>
            <a:effectLst/>
          </c:spPr>
          <c:invertIfNegative val="0"/>
          <c:dLbls>
            <c:numFmt formatCode="0" sourceLinked="0"/>
            <c:txPr>
              <a:bodyPr/>
              <a:lstStyle/>
              <a:p>
                <a:pPr>
                  <a:defRPr b="0" i="0" strike="noStrike" sz="1200" u="none">
                    <a:solidFill>
                      <a:srgbClr val="FFFFFF"/>
                    </a:solidFill>
                    <a:latin typeface="Graphik"/>
                  </a:defRPr>
                </a:pPr>
              </a:p>
            </c:txPr>
            <c:dLblPos val="inEnd"/>
            <c:showLegendKey val="0"/>
            <c:showVal val="1"/>
            <c:showCatName val="0"/>
            <c:showSerName val="0"/>
            <c:showPercent val="0"/>
            <c:showBubbleSize val="0"/>
            <c:showLeaderLines val="0"/>
          </c:dLbls>
          <c:cat>
            <c:strRef>
              <c:f>Sheet1!$A$2:$A$13</c:f>
              <c:strCache>
                <c:ptCount val="12"/>
                <c:pt idx="0">
                  <c:v>JAN</c:v>
                </c:pt>
                <c:pt idx="1">
                  <c:v>FEB</c:v>
                </c:pt>
                <c:pt idx="2">
                  <c:v>MAR</c:v>
                </c:pt>
                <c:pt idx="3">
                  <c:v>APR</c:v>
                </c:pt>
                <c:pt idx="4">
                  <c:v>MAY</c:v>
                </c:pt>
                <c:pt idx="5">
                  <c:v>JUNE</c:v>
                </c:pt>
                <c:pt idx="6">
                  <c:v>JULY</c:v>
                </c:pt>
                <c:pt idx="7">
                  <c:v>AUG</c:v>
                </c:pt>
                <c:pt idx="8">
                  <c:v>SEPT</c:v>
                </c:pt>
                <c:pt idx="9">
                  <c:v>OCT</c:v>
                </c:pt>
                <c:pt idx="10">
                  <c:v>NOV</c:v>
                </c:pt>
                <c:pt idx="11">
                  <c:v>DEC</c:v>
                </c:pt>
              </c:strCache>
            </c:strRef>
          </c:cat>
          <c:val>
            <c:numRef>
              <c:f>Sheet1!$B$2:$B$13</c:f>
              <c:numCache>
                <c:ptCount val="12"/>
                <c:pt idx="0">
                  <c:v>4.000000</c:v>
                </c:pt>
                <c:pt idx="1">
                  <c:v>4.000000</c:v>
                </c:pt>
                <c:pt idx="2">
                  <c:v>7.000000</c:v>
                </c:pt>
                <c:pt idx="3">
                  <c:v>2.000000</c:v>
                </c:pt>
                <c:pt idx="4">
                  <c:v>2.000000</c:v>
                </c:pt>
                <c:pt idx="5">
                  <c:v>5.000000</c:v>
                </c:pt>
                <c:pt idx="6">
                  <c:v>3.000000</c:v>
                </c:pt>
                <c:pt idx="7">
                  <c:v>6.000000</c:v>
                </c:pt>
                <c:pt idx="8">
                  <c:v>5.000000</c:v>
                </c:pt>
                <c:pt idx="9">
                  <c:v>2.000000</c:v>
                </c:pt>
                <c:pt idx="10">
                  <c:v>8.000000</c:v>
                </c:pt>
                <c:pt idx="11">
                  <c:v>4.000000</c:v>
                </c:pt>
              </c:numCache>
            </c:numRef>
          </c:val>
        </c:ser>
        <c:gapWidth val="40"/>
        <c:overlap val="-10"/>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000000"/>
            </a:solidFill>
            <a:prstDash val="solid"/>
            <a:miter lim="400000"/>
          </a:ln>
        </c:spPr>
        <c:txPr>
          <a:bodyPr rot="0"/>
          <a:lstStyle/>
          <a:p>
            <a:pPr>
              <a:defRPr b="0" i="0" strike="noStrike" sz="1000" u="none">
                <a:solidFill>
                  <a:srgbClr val="000000"/>
                </a:solidFill>
                <a:latin typeface="Graphik"/>
              </a:defRPr>
            </a:pPr>
          </a:p>
        </c:txPr>
        <c:crossAx val="2094734553"/>
        <c:crosses val="autoZero"/>
        <c:auto val="1"/>
        <c:lblAlgn val="ctr"/>
        <c:noMultiLvlLbl val="1"/>
      </c:catAx>
      <c:valAx>
        <c:axId val="2094734553"/>
        <c:scaling>
          <c:orientation val="minMax"/>
        </c:scaling>
        <c:delete val="0"/>
        <c:axPos val="l"/>
        <c:majorGridlines>
          <c:spPr>
            <a:ln w="6350" cap="flat">
              <a:solidFill>
                <a:srgbClr val="B8B8B8"/>
              </a:solidFill>
              <a:prstDash val="solid"/>
              <a:miter lim="400000"/>
            </a:ln>
          </c:spPr>
        </c:majorGridlines>
        <c:numFmt formatCode="0" sourceLinked="0"/>
        <c:majorTickMark val="none"/>
        <c:minorTickMark val="none"/>
        <c:tickLblPos val="nextTo"/>
        <c:spPr>
          <a:ln w="12700" cap="flat">
            <a:noFill/>
            <a:prstDash val="solid"/>
            <a:miter lim="400000"/>
          </a:ln>
        </c:spPr>
        <c:txPr>
          <a:bodyPr rot="0"/>
          <a:lstStyle/>
          <a:p>
            <a:pPr>
              <a:defRPr b="0" i="0" strike="noStrike" sz="1000" u="none">
                <a:solidFill>
                  <a:srgbClr val="000000"/>
                </a:solidFill>
                <a:latin typeface="Graphik"/>
              </a:defRPr>
            </a:pPr>
          </a:p>
        </c:txPr>
        <c:crossAx val="2094734552"/>
        <c:crosses val="autoZero"/>
        <c:crossBetween val="between"/>
        <c:majorUnit val="2"/>
        <c:minorUnit val="1"/>
      </c:valAx>
      <c:spPr>
        <a:noFill/>
        <a:ln w="12700" cap="flat">
          <a:noFill/>
          <a:miter lim="400000"/>
        </a:ln>
        <a:effectLst/>
      </c:spPr>
    </c:plotArea>
    <c:plotVisOnly val="1"/>
    <c:dispBlanksAs val="gap"/>
  </c:chart>
  <c:spPr>
    <a:noFill/>
    <a:ln>
      <a:noFill/>
    </a:ln>
    <a:effectLst/>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1"/>
  <c:roundedCorners val="0"/>
  <c:chart>
    <c:title>
      <c:tx>
        <c:rich>
          <a:bodyPr rot="0"/>
          <a:lstStyle/>
          <a:p>
            <a:pPr>
              <a:defRPr b="1" i="0" strike="noStrike" sz="1200" u="none">
                <a:solidFill>
                  <a:srgbClr val="000000"/>
                </a:solidFill>
                <a:latin typeface="Graphik"/>
              </a:defRPr>
            </a:pPr>
            <a:r>
              <a:rPr b="1" i="0" strike="noStrike" sz="1200" u="none">
                <a:solidFill>
                  <a:srgbClr val="000000"/>
                </a:solidFill>
                <a:latin typeface="Graphik"/>
              </a:rPr>
              <a:t>SUICIDES BY METHOD</a:t>
            </a:r>
          </a:p>
        </c:rich>
      </c:tx>
      <c:layout>
        <c:manualLayout>
          <c:xMode val="edge"/>
          <c:yMode val="edge"/>
          <c:x val="0.36887"/>
          <c:y val="0"/>
          <c:w val="0.26226"/>
          <c:h val="0.116738"/>
        </c:manualLayout>
      </c:layout>
      <c:overlay val="1"/>
      <c:spPr>
        <a:noFill/>
        <a:effectLst/>
      </c:spPr>
    </c:title>
    <c:autoTitleDeleted val="1"/>
    <c:plotArea>
      <c:layout>
        <c:manualLayout>
          <c:layoutTarget val="inner"/>
          <c:xMode val="edge"/>
          <c:yMode val="edge"/>
          <c:x val="0.050068"/>
          <c:y val="0.116738"/>
          <c:w val="0.944932"/>
          <c:h val="0.79775"/>
        </c:manualLayout>
      </c:layout>
      <c:barChart>
        <c:barDir val="col"/>
        <c:grouping val="clustered"/>
        <c:varyColors val="0"/>
        <c:ser>
          <c:idx val="0"/>
          <c:order val="0"/>
          <c:tx>
            <c:strRef>
              <c:f>Sheet1!$B$1</c:f>
              <c:strCache>
                <c:ptCount val="1"/>
                <c:pt idx="0">
                  <c:v>SUICIDES BY METHOD</c:v>
                </c:pt>
              </c:strCache>
            </c:strRef>
          </c:tx>
          <c:spPr>
            <a:solidFill>
              <a:schemeClr val="accent4"/>
            </a:solidFill>
            <a:ln w="12700" cap="flat">
              <a:noFill/>
              <a:miter lim="400000"/>
            </a:ln>
            <a:effectLst/>
          </c:spPr>
          <c:invertIfNegative val="0"/>
          <c:dLbls>
            <c:numFmt formatCode="0" sourceLinked="0"/>
            <c:txPr>
              <a:bodyPr/>
              <a:lstStyle/>
              <a:p>
                <a:pPr>
                  <a:defRPr b="0" i="0" strike="noStrike" sz="1200" u="none">
                    <a:solidFill>
                      <a:srgbClr val="000000"/>
                    </a:solidFill>
                    <a:latin typeface="Graphik"/>
                  </a:defRPr>
                </a:pPr>
              </a:p>
            </c:txPr>
            <c:dLblPos val="inEnd"/>
            <c:showLegendKey val="0"/>
            <c:showVal val="1"/>
            <c:showCatName val="0"/>
            <c:showSerName val="0"/>
            <c:showPercent val="0"/>
            <c:showBubbleSize val="0"/>
            <c:showLeaderLines val="0"/>
          </c:dLbls>
          <c:cat>
            <c:strRef>
              <c:f>Sheet1!$A$2:$A$7</c:f>
              <c:strCache>
                <c:ptCount val="6"/>
                <c:pt idx="0">
                  <c:v>Gunshot Wounds</c:v>
                </c:pt>
                <c:pt idx="1">
                  <c:v>Hanging</c:v>
                </c:pt>
                <c:pt idx="2">
                  <c:v>Asphyxiation</c:v>
                </c:pt>
                <c:pt idx="3">
                  <c:v>Stab Wounds</c:v>
                </c:pt>
                <c:pt idx="4">
                  <c:v>Overdose</c:v>
                </c:pt>
                <c:pt idx="5">
                  <c:v>Poisoning</c:v>
                </c:pt>
              </c:strCache>
            </c:strRef>
          </c:cat>
          <c:val>
            <c:numRef>
              <c:f>Sheet1!$B$2:$B$7</c:f>
              <c:numCache>
                <c:ptCount val="6"/>
                <c:pt idx="0">
                  <c:v>33.000000</c:v>
                </c:pt>
                <c:pt idx="1">
                  <c:v>4.000000</c:v>
                </c:pt>
                <c:pt idx="2">
                  <c:v>11.000000</c:v>
                </c:pt>
                <c:pt idx="3">
                  <c:v>0.000000</c:v>
                </c:pt>
                <c:pt idx="4">
                  <c:v>3.000000</c:v>
                </c:pt>
                <c:pt idx="5">
                  <c:v>1.000000</c:v>
                </c:pt>
              </c:numCache>
            </c:numRef>
          </c:val>
        </c:ser>
        <c:gapWidth val="40"/>
        <c:overlap val="-10"/>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000000"/>
            </a:solidFill>
            <a:prstDash val="solid"/>
            <a:miter lim="400000"/>
          </a:ln>
        </c:spPr>
        <c:txPr>
          <a:bodyPr rot="0"/>
          <a:lstStyle/>
          <a:p>
            <a:pPr>
              <a:defRPr b="0" i="0" strike="noStrike" sz="1000" u="none">
                <a:solidFill>
                  <a:srgbClr val="000000"/>
                </a:solidFill>
                <a:latin typeface="Graphik"/>
              </a:defRPr>
            </a:pPr>
          </a:p>
        </c:txPr>
        <c:crossAx val="2094734553"/>
        <c:crosses val="autoZero"/>
        <c:auto val="1"/>
        <c:lblAlgn val="ctr"/>
        <c:noMultiLvlLbl val="1"/>
      </c:catAx>
      <c:valAx>
        <c:axId val="2094734553"/>
        <c:scaling>
          <c:orientation val="minMax"/>
        </c:scaling>
        <c:delete val="0"/>
        <c:axPos val="l"/>
        <c:majorGridlines>
          <c:spPr>
            <a:ln w="6350" cap="flat">
              <a:solidFill>
                <a:srgbClr val="B8B8B8"/>
              </a:solidFill>
              <a:prstDash val="solid"/>
              <a:miter lim="400000"/>
            </a:ln>
          </c:spPr>
        </c:majorGridlines>
        <c:numFmt formatCode="0" sourceLinked="0"/>
        <c:majorTickMark val="none"/>
        <c:minorTickMark val="none"/>
        <c:tickLblPos val="nextTo"/>
        <c:spPr>
          <a:ln w="12700" cap="flat">
            <a:noFill/>
            <a:prstDash val="solid"/>
            <a:miter lim="400000"/>
          </a:ln>
        </c:spPr>
        <c:txPr>
          <a:bodyPr rot="0"/>
          <a:lstStyle/>
          <a:p>
            <a:pPr>
              <a:defRPr b="0" i="0" strike="noStrike" sz="1000" u="none">
                <a:solidFill>
                  <a:srgbClr val="000000"/>
                </a:solidFill>
                <a:latin typeface="Graphik"/>
              </a:defRPr>
            </a:pPr>
          </a:p>
        </c:txPr>
        <c:crossAx val="2094734552"/>
        <c:crosses val="autoZero"/>
        <c:crossBetween val="between"/>
        <c:majorUnit val="10"/>
        <c:minorUnit val="5"/>
      </c:valAx>
      <c:spPr>
        <a:noFill/>
        <a:ln w="12700" cap="flat">
          <a:noFill/>
          <a:miter lim="400000"/>
        </a:ln>
        <a:effectLst/>
      </c:spPr>
    </c:plotArea>
    <c:plotVisOnly val="1"/>
    <c:dispBlanksAs val="gap"/>
  </c:chart>
  <c:spPr>
    <a:noFill/>
    <a:ln>
      <a:noFill/>
    </a:ln>
    <a:effectLst/>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1"/>
  <c:roundedCorners val="0"/>
  <c:chart>
    <c:title>
      <c:tx>
        <c:rich>
          <a:bodyPr rot="0"/>
          <a:lstStyle/>
          <a:p>
            <a:pPr>
              <a:defRPr b="1" i="0" strike="noStrike" sz="1200" u="none">
                <a:solidFill>
                  <a:srgbClr val="000000"/>
                </a:solidFill>
                <a:latin typeface="Graphik"/>
              </a:defRPr>
            </a:pPr>
            <a:r>
              <a:rPr b="1" i="0" strike="noStrike" sz="1200" u="none">
                <a:solidFill>
                  <a:srgbClr val="000000"/>
                </a:solidFill>
                <a:latin typeface="Graphik"/>
              </a:rPr>
              <a:t>SUICIDES BY AGE AND GENDER</a:t>
            </a:r>
          </a:p>
        </c:rich>
      </c:tx>
      <c:layout>
        <c:manualLayout>
          <c:xMode val="edge"/>
          <c:yMode val="edge"/>
          <c:x val="0.316138"/>
          <c:y val="0"/>
          <c:w val="0.367724"/>
          <c:h val="0.103607"/>
        </c:manualLayout>
      </c:layout>
      <c:overlay val="1"/>
      <c:spPr>
        <a:noFill/>
        <a:effectLst/>
      </c:spPr>
    </c:title>
    <c:autoTitleDeleted val="1"/>
    <c:plotArea>
      <c:layout>
        <c:manualLayout>
          <c:layoutTarget val="inner"/>
          <c:xMode val="edge"/>
          <c:yMode val="edge"/>
          <c:x val="0.0433015"/>
          <c:y val="0.103607"/>
          <c:w val="0.951699"/>
          <c:h val="0.720454"/>
        </c:manualLayout>
      </c:layout>
      <c:barChart>
        <c:barDir val="col"/>
        <c:grouping val="clustered"/>
        <c:varyColors val="0"/>
        <c:ser>
          <c:idx val="0"/>
          <c:order val="0"/>
          <c:tx>
            <c:strRef>
              <c:f>Sheet1!$B$1</c:f>
              <c:strCache>
                <c:ptCount val="1"/>
                <c:pt idx="0">
                  <c:v>Males</c:v>
                </c:pt>
              </c:strCache>
            </c:strRef>
          </c:tx>
          <c:spPr>
            <a:solidFill>
              <a:srgbClr val="24BA29"/>
            </a:solidFill>
            <a:ln w="12700" cap="flat">
              <a:noFill/>
              <a:miter lim="400000"/>
            </a:ln>
            <a:effectLst/>
          </c:spPr>
          <c:invertIfNegative val="0"/>
          <c:dLbls>
            <c:numFmt formatCode="0" sourceLinked="0"/>
            <c:txPr>
              <a:bodyPr/>
              <a:lstStyle/>
              <a:p>
                <a:pPr>
                  <a:defRPr b="0" i="0" strike="noStrike" sz="1200" u="none">
                    <a:solidFill>
                      <a:srgbClr val="FFFFFF"/>
                    </a:solidFill>
                    <a:latin typeface="Graphik"/>
                  </a:defRPr>
                </a:pPr>
              </a:p>
            </c:txPr>
            <c:dLblPos val="inEnd"/>
            <c:showLegendKey val="0"/>
            <c:showVal val="1"/>
            <c:showCatName val="0"/>
            <c:showSerName val="0"/>
            <c:showPercent val="0"/>
            <c:showBubbleSize val="0"/>
            <c:showLeaderLines val="0"/>
          </c:dLbls>
          <c:cat>
            <c:strRef>
              <c:f>Sheet1!$A$2:$A$10</c:f>
              <c:strCache>
                <c:ptCount val="9"/>
                <c:pt idx="0">
                  <c:v>Under 18</c:v>
                </c:pt>
                <c:pt idx="1">
                  <c:v>18-29</c:v>
                </c:pt>
                <c:pt idx="2">
                  <c:v>30-39</c:v>
                </c:pt>
                <c:pt idx="3">
                  <c:v>40-49</c:v>
                </c:pt>
                <c:pt idx="4">
                  <c:v>50-59</c:v>
                </c:pt>
                <c:pt idx="5">
                  <c:v>60-69</c:v>
                </c:pt>
                <c:pt idx="6">
                  <c:v>70-79</c:v>
                </c:pt>
                <c:pt idx="7">
                  <c:v>80-89</c:v>
                </c:pt>
                <c:pt idx="8">
                  <c:v>90-100</c:v>
                </c:pt>
              </c:strCache>
            </c:strRef>
          </c:cat>
          <c:val>
            <c:numRef>
              <c:f>Sheet1!$B$2:$B$10</c:f>
              <c:numCache>
                <c:ptCount val="9"/>
                <c:pt idx="0">
                  <c:v>4.000000</c:v>
                </c:pt>
                <c:pt idx="1">
                  <c:v>11.000000</c:v>
                </c:pt>
                <c:pt idx="2">
                  <c:v>7.000000</c:v>
                </c:pt>
                <c:pt idx="3">
                  <c:v>5.000000</c:v>
                </c:pt>
                <c:pt idx="4">
                  <c:v>3.000000</c:v>
                </c:pt>
                <c:pt idx="5">
                  <c:v>5.000000</c:v>
                </c:pt>
                <c:pt idx="6">
                  <c:v>3.000000</c:v>
                </c:pt>
                <c:pt idx="7">
                  <c:v>4.000000</c:v>
                </c:pt>
                <c:pt idx="8">
                  <c:v>0.000000</c:v>
                </c:pt>
              </c:numCache>
            </c:numRef>
          </c:val>
        </c:ser>
        <c:ser>
          <c:idx val="1"/>
          <c:order val="1"/>
          <c:tx>
            <c:strRef>
              <c:f>Sheet1!$C$1</c:f>
              <c:strCache>
                <c:ptCount val="1"/>
                <c:pt idx="0">
                  <c:v>Females</c:v>
                </c:pt>
              </c:strCache>
            </c:strRef>
          </c:tx>
          <c:spPr>
            <a:solidFill>
              <a:schemeClr val="accent2">
                <a:hueOff val="264202"/>
                <a:lumOff val="-9371"/>
              </a:schemeClr>
            </a:solidFill>
            <a:ln w="12700" cap="flat">
              <a:noFill/>
              <a:miter lim="400000"/>
            </a:ln>
            <a:effectLst/>
          </c:spPr>
          <c:invertIfNegative val="0"/>
          <c:dLbls>
            <c:numFmt formatCode="0" sourceLinked="0"/>
            <c:txPr>
              <a:bodyPr/>
              <a:lstStyle/>
              <a:p>
                <a:pPr>
                  <a:defRPr b="0" i="0" strike="noStrike" sz="1200" u="none">
                    <a:solidFill>
                      <a:srgbClr val="FFFFFF"/>
                    </a:solidFill>
                    <a:latin typeface="Graphik"/>
                  </a:defRPr>
                </a:pPr>
              </a:p>
            </c:txPr>
            <c:dLblPos val="inEnd"/>
            <c:showLegendKey val="0"/>
            <c:showVal val="1"/>
            <c:showCatName val="0"/>
            <c:showSerName val="0"/>
            <c:showPercent val="0"/>
            <c:showBubbleSize val="0"/>
            <c:showLeaderLines val="0"/>
          </c:dLbls>
          <c:cat>
            <c:strRef>
              <c:f>Sheet1!$A$2:$A$10</c:f>
              <c:strCache>
                <c:ptCount val="9"/>
                <c:pt idx="0">
                  <c:v>Under 18</c:v>
                </c:pt>
                <c:pt idx="1">
                  <c:v>18-29</c:v>
                </c:pt>
                <c:pt idx="2">
                  <c:v>30-39</c:v>
                </c:pt>
                <c:pt idx="3">
                  <c:v>40-49</c:v>
                </c:pt>
                <c:pt idx="4">
                  <c:v>50-59</c:v>
                </c:pt>
                <c:pt idx="5">
                  <c:v>60-69</c:v>
                </c:pt>
                <c:pt idx="6">
                  <c:v>70-79</c:v>
                </c:pt>
                <c:pt idx="7">
                  <c:v>80-89</c:v>
                </c:pt>
                <c:pt idx="8">
                  <c:v>90-100</c:v>
                </c:pt>
              </c:strCache>
            </c:strRef>
          </c:cat>
          <c:val>
            <c:numRef>
              <c:f>Sheet1!$C$2:$C$10</c:f>
              <c:numCache>
                <c:ptCount val="9"/>
                <c:pt idx="0">
                  <c:v>0.000000</c:v>
                </c:pt>
                <c:pt idx="1">
                  <c:v>3.000000</c:v>
                </c:pt>
                <c:pt idx="2">
                  <c:v>2.000000</c:v>
                </c:pt>
                <c:pt idx="3">
                  <c:v>1.000000</c:v>
                </c:pt>
                <c:pt idx="4">
                  <c:v>1.000000</c:v>
                </c:pt>
                <c:pt idx="5">
                  <c:v>2.000000</c:v>
                </c:pt>
                <c:pt idx="6">
                  <c:v>1.000000</c:v>
                </c:pt>
                <c:pt idx="7">
                  <c:v>0.000000</c:v>
                </c:pt>
                <c:pt idx="8">
                  <c:v>0.000000</c:v>
                </c:pt>
              </c:numCache>
            </c:numRef>
          </c:val>
        </c:ser>
        <c:gapWidth val="40"/>
        <c:overlap val="-10"/>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000000"/>
            </a:solidFill>
            <a:prstDash val="solid"/>
            <a:miter lim="400000"/>
          </a:ln>
        </c:spPr>
        <c:txPr>
          <a:bodyPr rot="0"/>
          <a:lstStyle/>
          <a:p>
            <a:pPr>
              <a:defRPr b="0" i="0" strike="noStrike" sz="1000" u="none">
                <a:solidFill>
                  <a:srgbClr val="000000"/>
                </a:solidFill>
                <a:latin typeface="Graphik"/>
              </a:defRPr>
            </a:pPr>
          </a:p>
        </c:txPr>
        <c:crossAx val="2094734553"/>
        <c:crosses val="autoZero"/>
        <c:auto val="1"/>
        <c:lblAlgn val="ctr"/>
        <c:noMultiLvlLbl val="1"/>
      </c:catAx>
      <c:valAx>
        <c:axId val="2094734553"/>
        <c:scaling>
          <c:orientation val="minMax"/>
        </c:scaling>
        <c:delete val="0"/>
        <c:axPos val="l"/>
        <c:majorGridlines>
          <c:spPr>
            <a:ln w="6350" cap="flat">
              <a:solidFill>
                <a:srgbClr val="B8B8B8"/>
              </a:solidFill>
              <a:prstDash val="solid"/>
              <a:miter lim="400000"/>
            </a:ln>
          </c:spPr>
        </c:majorGridlines>
        <c:numFmt formatCode="0" sourceLinked="0"/>
        <c:majorTickMark val="none"/>
        <c:minorTickMark val="none"/>
        <c:tickLblPos val="nextTo"/>
        <c:spPr>
          <a:ln w="12700" cap="flat">
            <a:noFill/>
            <a:prstDash val="solid"/>
            <a:miter lim="400000"/>
          </a:ln>
        </c:spPr>
        <c:txPr>
          <a:bodyPr rot="0"/>
          <a:lstStyle/>
          <a:p>
            <a:pPr>
              <a:defRPr b="0" i="0" strike="noStrike" sz="1000" u="none">
                <a:solidFill>
                  <a:srgbClr val="000000"/>
                </a:solidFill>
                <a:latin typeface="Graphik"/>
              </a:defRPr>
            </a:pPr>
          </a:p>
        </c:txPr>
        <c:crossAx val="2094734552"/>
        <c:crosses val="autoZero"/>
        <c:crossBetween val="between"/>
        <c:majorUnit val="3"/>
        <c:minorUnit val="1.5"/>
      </c:valAx>
      <c:spPr>
        <a:noFill/>
        <a:ln w="12700" cap="flat">
          <a:noFill/>
          <a:miter lim="400000"/>
        </a:ln>
        <a:effectLst/>
      </c:spPr>
    </c:plotArea>
    <c:legend>
      <c:legendPos val="b"/>
      <c:layout>
        <c:manualLayout>
          <c:xMode val="edge"/>
          <c:yMode val="edge"/>
          <c:x val="0.416396"/>
          <c:y val="0.894621"/>
          <c:w val="0.200328"/>
          <c:h val="0.105379"/>
        </c:manualLayout>
      </c:layout>
      <c:overlay val="1"/>
      <c:spPr>
        <a:noFill/>
        <a:ln w="12700" cap="flat">
          <a:noFill/>
          <a:miter lim="400000"/>
        </a:ln>
        <a:effectLst/>
      </c:spPr>
      <c:txPr>
        <a:bodyPr rot="0"/>
        <a:lstStyle/>
        <a:p>
          <a:pPr>
            <a:defRPr b="0" i="0" strike="noStrike" sz="1000" u="none">
              <a:solidFill>
                <a:srgbClr val="000000"/>
              </a:solidFill>
              <a:latin typeface="Graphik"/>
            </a:defRPr>
          </a:pPr>
        </a:p>
      </c:txPr>
    </c:legend>
    <c:plotVisOnly val="1"/>
    <c:dispBlanksAs val="gap"/>
  </c:chart>
  <c:spPr>
    <a:noFill/>
    <a:ln>
      <a:noFill/>
    </a:ln>
    <a:effectLst/>
  </c:spPr>
  <c:externalData r:id="rId1">
    <c:autoUpdate val="0"/>
  </c:externalData>
</c:chartSpace>
</file>

<file path=word/theme/theme1.xml><?xml version="1.0" encoding="utf-8"?>
<a:theme xmlns:a="http://schemas.openxmlformats.org/drawingml/2006/main" xmlns:r="http://schemas.openxmlformats.org/officeDocument/2006/relationships" name="27_Professional_Report">
  <a:themeElements>
    <a:clrScheme name="27_Professional_Report">
      <a:dk1>
        <a:srgbClr val="000000"/>
      </a:dk1>
      <a:lt1>
        <a:srgbClr val="FFFFFF"/>
      </a:lt1>
      <a:dk2>
        <a:srgbClr val="5E5E5E"/>
      </a:dk2>
      <a:lt2>
        <a:srgbClr val="D5D5D5"/>
      </a:lt2>
      <a:accent1>
        <a:srgbClr val="599DFF"/>
      </a:accent1>
      <a:accent2>
        <a:srgbClr val="00D4D2"/>
      </a:accent2>
      <a:accent3>
        <a:srgbClr val="38E53A"/>
      </a:accent3>
      <a:accent4>
        <a:srgbClr val="FFFA00"/>
      </a:accent4>
      <a:accent5>
        <a:srgbClr val="FF7D74"/>
      </a:accent5>
      <a:accent6>
        <a:srgbClr val="FF80E9"/>
      </a:accent6>
      <a:hlink>
        <a:srgbClr val="0000FF"/>
      </a:hlink>
      <a:folHlink>
        <a:srgbClr val="FF00FF"/>
      </a:folHlink>
    </a:clrScheme>
    <a:fontScheme name="27_Professional_Report">
      <a:majorFont>
        <a:latin typeface="Graphik"/>
        <a:ea typeface="Graphik"/>
        <a:cs typeface="Graphik"/>
      </a:majorFont>
      <a:minorFont>
        <a:latin typeface="Graphik"/>
        <a:ea typeface="Graphik"/>
        <a:cs typeface="Graphik"/>
      </a:minorFont>
    </a:fontScheme>
    <a:fmtScheme name="27_Professional_Repor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28" strike="noStrike" sz="1400" u="none" kumimoji="0" normalizeH="0">
            <a:ln>
              <a:noFill/>
            </a:ln>
            <a:solidFill>
              <a:srgbClr val="FFFFFF"/>
            </a:solidFill>
            <a:effectLst/>
            <a:uFillTx/>
            <a:latin typeface="Graphik Semibold"/>
            <a:ea typeface="Graphik Semibold"/>
            <a:cs typeface="Graphik Semibold"/>
            <a:sym typeface="Graphik Semibold"/>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889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355600" rtl="0" fontAlgn="auto" latinLnBrk="0" hangingPunct="0">
          <a:lnSpc>
            <a:spcPct val="110000"/>
          </a:lnSpc>
          <a:spcBef>
            <a:spcPts val="1800"/>
          </a:spcBef>
          <a:spcAft>
            <a:spcPts val="0"/>
          </a:spcAft>
          <a:buClrTx/>
          <a:buSzTx/>
          <a:buFontTx/>
          <a:buNone/>
          <a:tabLst/>
          <a:defRPr b="0" baseline="0" cap="none" i="0" spc="0" strike="noStrike" sz="1200" u="none" kumimoji="0" normalizeH="0">
            <a:ln>
              <a:noFill/>
            </a:ln>
            <a:solidFill>
              <a:srgbClr val="000000"/>
            </a:solidFill>
            <a:effectLst/>
            <a:uFillTx/>
            <a:latin typeface="+mn-lt"/>
            <a:ea typeface="+mn-ea"/>
            <a:cs typeface="+mn-cs"/>
            <a:sym typeface="Graphik"/>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